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7E649" w14:textId="77777777" w:rsidR="003F5E5C" w:rsidRPr="000906A8" w:rsidRDefault="00DB1BB1" w:rsidP="008B2CB7">
      <w:pPr>
        <w:jc w:val="center"/>
        <w:rPr>
          <w:rFonts w:ascii="Arial" w:hAnsi="Arial" w:cs="Arial"/>
          <w:sz w:val="22"/>
          <w:szCs w:val="22"/>
        </w:rPr>
      </w:pPr>
      <w:r>
        <w:rPr>
          <w:rFonts w:ascii="Arial" w:hAnsi="Arial" w:cs="Arial"/>
          <w:sz w:val="22"/>
          <w:szCs w:val="22"/>
        </w:rPr>
        <w:t>EXISTING</w:t>
      </w:r>
      <w:r w:rsidR="003F5E5C" w:rsidRPr="000906A8">
        <w:rPr>
          <w:rFonts w:ascii="Arial" w:hAnsi="Arial" w:cs="Arial"/>
          <w:sz w:val="22"/>
          <w:szCs w:val="22"/>
        </w:rPr>
        <w:t>, NEW AND RENEWAL POLICIES</w:t>
      </w:r>
    </w:p>
    <w:p w14:paraId="68AA40FB" w14:textId="3310CABC" w:rsidR="003F5E5C" w:rsidRPr="000906A8" w:rsidRDefault="007137D0">
      <w:pPr>
        <w:pStyle w:val="TitleBC"/>
        <w:tabs>
          <w:tab w:val="left" w:pos="4500"/>
        </w:tabs>
        <w:jc w:val="right"/>
        <w:rPr>
          <w:rFonts w:ascii="Arial" w:hAnsi="Arial" w:cs="Arial"/>
          <w:b w:val="0"/>
          <w:sz w:val="22"/>
          <w:szCs w:val="22"/>
          <w:u w:val="none"/>
        </w:rPr>
      </w:pPr>
      <w:r w:rsidRPr="007137D0">
        <w:rPr>
          <w:rFonts w:ascii="Arial" w:hAnsi="Arial" w:cs="Arial"/>
          <w:b w:val="0"/>
          <w:sz w:val="22"/>
          <w:szCs w:val="22"/>
          <w:u w:val="none"/>
        </w:rPr>
        <w:t>0</w:t>
      </w:r>
      <w:r w:rsidR="00823E49">
        <w:rPr>
          <w:rFonts w:ascii="Arial" w:hAnsi="Arial" w:cs="Arial"/>
          <w:b w:val="0"/>
          <w:sz w:val="22"/>
          <w:szCs w:val="22"/>
          <w:u w:val="none"/>
        </w:rPr>
        <w:t>7</w:t>
      </w:r>
      <w:r w:rsidR="003F5E5C" w:rsidRPr="007137D0">
        <w:rPr>
          <w:rFonts w:ascii="Arial" w:hAnsi="Arial" w:cs="Arial"/>
          <w:b w:val="0"/>
          <w:sz w:val="22"/>
          <w:szCs w:val="22"/>
          <w:u w:val="none"/>
        </w:rPr>
        <w:t>/</w:t>
      </w:r>
      <w:r w:rsidR="0071497F" w:rsidRPr="007137D0">
        <w:rPr>
          <w:rFonts w:ascii="Arial" w:hAnsi="Arial" w:cs="Arial"/>
          <w:b w:val="0"/>
          <w:sz w:val="22"/>
          <w:szCs w:val="22"/>
          <w:u w:val="none"/>
        </w:rPr>
        <w:t>0</w:t>
      </w:r>
      <w:r w:rsidR="00EF364E" w:rsidRPr="007137D0">
        <w:rPr>
          <w:rFonts w:ascii="Arial" w:hAnsi="Arial" w:cs="Arial"/>
          <w:b w:val="0"/>
          <w:sz w:val="22"/>
          <w:szCs w:val="22"/>
          <w:u w:val="none"/>
        </w:rPr>
        <w:t>6</w:t>
      </w:r>
      <w:r w:rsidR="003F5E5C" w:rsidRPr="007137D0">
        <w:rPr>
          <w:rFonts w:ascii="Arial" w:hAnsi="Arial" w:cs="Arial"/>
          <w:b w:val="0"/>
          <w:sz w:val="22"/>
          <w:szCs w:val="22"/>
          <w:u w:val="none"/>
        </w:rPr>
        <w:t>/2</w:t>
      </w:r>
      <w:r w:rsidR="001E141C" w:rsidRPr="007137D0">
        <w:rPr>
          <w:rFonts w:ascii="Arial" w:hAnsi="Arial" w:cs="Arial"/>
          <w:b w:val="0"/>
          <w:sz w:val="22"/>
          <w:szCs w:val="22"/>
          <w:u w:val="none"/>
        </w:rPr>
        <w:t>4</w:t>
      </w:r>
    </w:p>
    <w:p w14:paraId="668BBB71" w14:textId="77777777" w:rsidR="003F5E5C" w:rsidRPr="000906A8" w:rsidRDefault="003F5E5C">
      <w:pPr>
        <w:pStyle w:val="TitleBC"/>
        <w:tabs>
          <w:tab w:val="left" w:pos="4500"/>
        </w:tabs>
        <w:rPr>
          <w:rFonts w:ascii="Arial" w:hAnsi="Arial" w:cs="Arial"/>
          <w:b w:val="0"/>
          <w:sz w:val="22"/>
          <w:szCs w:val="22"/>
          <w:u w:val="none"/>
        </w:rPr>
      </w:pPr>
      <w:r w:rsidRPr="000906A8">
        <w:rPr>
          <w:rFonts w:ascii="Arial" w:hAnsi="Arial" w:cs="Arial"/>
          <w:b w:val="0"/>
          <w:sz w:val="22"/>
          <w:szCs w:val="22"/>
          <w:u w:val="none"/>
        </w:rPr>
        <w:t>CERTAIN UNDERWRITERS AT LLOYD'S</w:t>
      </w:r>
    </w:p>
    <w:p w14:paraId="19A2CB39" w14:textId="77777777" w:rsidR="00A851E4" w:rsidRDefault="003F5E5C">
      <w:pPr>
        <w:jc w:val="center"/>
        <w:rPr>
          <w:rFonts w:ascii="Arial" w:hAnsi="Arial" w:cs="Arial"/>
          <w:b/>
          <w:sz w:val="22"/>
          <w:szCs w:val="22"/>
        </w:rPr>
      </w:pPr>
      <w:r w:rsidRPr="000906A8">
        <w:rPr>
          <w:rFonts w:ascii="Arial" w:hAnsi="Arial" w:cs="Arial"/>
          <w:b/>
          <w:sz w:val="22"/>
          <w:szCs w:val="22"/>
        </w:rPr>
        <w:t>OIL</w:t>
      </w:r>
      <w:r w:rsidR="00F56F7A">
        <w:rPr>
          <w:rFonts w:ascii="Arial" w:hAnsi="Arial" w:cs="Arial"/>
          <w:b/>
          <w:sz w:val="22"/>
          <w:szCs w:val="22"/>
        </w:rPr>
        <w:t xml:space="preserve"> AND OIL PRODUCTS</w:t>
      </w:r>
      <w:r w:rsidRPr="000906A8">
        <w:rPr>
          <w:rFonts w:ascii="Arial" w:hAnsi="Arial" w:cs="Arial"/>
          <w:b/>
          <w:sz w:val="22"/>
          <w:szCs w:val="22"/>
        </w:rPr>
        <w:t xml:space="preserve"> PRICE CAP </w:t>
      </w:r>
    </w:p>
    <w:p w14:paraId="155B1623" w14:textId="77777777" w:rsidR="000906A8" w:rsidRDefault="003F5E5C" w:rsidP="00426CBF">
      <w:pPr>
        <w:jc w:val="center"/>
        <w:rPr>
          <w:rFonts w:ascii="Arial" w:hAnsi="Arial" w:cs="Arial"/>
          <w:b/>
          <w:sz w:val="22"/>
          <w:szCs w:val="22"/>
        </w:rPr>
      </w:pPr>
      <w:r w:rsidRPr="000906A8">
        <w:rPr>
          <w:rFonts w:ascii="Arial" w:hAnsi="Arial" w:cs="Arial"/>
          <w:b/>
          <w:sz w:val="22"/>
          <w:szCs w:val="22"/>
        </w:rPr>
        <w:t xml:space="preserve">NOTICE AND </w:t>
      </w:r>
      <w:r w:rsidR="00CB07F5">
        <w:rPr>
          <w:rFonts w:ascii="Arial" w:hAnsi="Arial" w:cs="Arial"/>
          <w:b/>
          <w:sz w:val="22"/>
          <w:szCs w:val="22"/>
        </w:rPr>
        <w:t>CLAUSE/</w:t>
      </w:r>
      <w:r w:rsidRPr="000906A8">
        <w:rPr>
          <w:rFonts w:ascii="Arial" w:hAnsi="Arial" w:cs="Arial"/>
          <w:b/>
          <w:sz w:val="22"/>
          <w:szCs w:val="22"/>
        </w:rPr>
        <w:t>ENDORSEMENT (H</w:t>
      </w:r>
      <w:r w:rsidR="00A851E4">
        <w:rPr>
          <w:rFonts w:ascii="Arial" w:hAnsi="Arial" w:cs="Arial"/>
          <w:b/>
          <w:sz w:val="22"/>
          <w:szCs w:val="22"/>
        </w:rPr>
        <w:t>ULL</w:t>
      </w:r>
      <w:r w:rsidRPr="000906A8">
        <w:rPr>
          <w:rFonts w:ascii="Arial" w:hAnsi="Arial" w:cs="Arial"/>
          <w:b/>
          <w:sz w:val="22"/>
          <w:szCs w:val="22"/>
        </w:rPr>
        <w:t>)</w:t>
      </w:r>
    </w:p>
    <w:p w14:paraId="626CFAAE" w14:textId="0E3D3EFC" w:rsidR="003F5E5C" w:rsidRPr="000906A8" w:rsidRDefault="00584C2D" w:rsidP="000906A8">
      <w:pPr>
        <w:pStyle w:val="TitleBC"/>
        <w:tabs>
          <w:tab w:val="left" w:pos="4500"/>
        </w:tabs>
        <w:spacing w:after="0"/>
        <w:rPr>
          <w:rFonts w:ascii="Arial" w:hAnsi="Arial" w:cs="Arial"/>
          <w:b w:val="0"/>
          <w:sz w:val="22"/>
          <w:szCs w:val="22"/>
          <w:u w:val="none"/>
        </w:rPr>
      </w:pPr>
      <w:r w:rsidRPr="000906A8">
        <w:rPr>
          <w:rFonts w:ascii="Arial" w:hAnsi="Arial" w:cs="Arial"/>
          <w:noProof/>
          <w:sz w:val="22"/>
          <w:szCs w:val="22"/>
        </w:rPr>
        <mc:AlternateContent>
          <mc:Choice Requires="wps">
            <w:drawing>
              <wp:anchor distT="0" distB="0" distL="114300" distR="114300" simplePos="0" relativeHeight="251657728" behindDoc="0" locked="0" layoutInCell="0" allowOverlap="1" wp14:anchorId="77AFE6E7" wp14:editId="78E1EC90">
                <wp:simplePos x="0" y="0"/>
                <wp:positionH relativeFrom="column">
                  <wp:posOffset>6350</wp:posOffset>
                </wp:positionH>
                <wp:positionV relativeFrom="paragraph">
                  <wp:posOffset>190500</wp:posOffset>
                </wp:positionV>
                <wp:extent cx="6400800" cy="1320165"/>
                <wp:effectExtent l="0" t="0" r="0" b="0"/>
                <wp:wrapNone/>
                <wp:docPr id="160715754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320165"/>
                        </a:xfrm>
                        <a:prstGeom prst="rect">
                          <a:avLst/>
                        </a:prstGeom>
                        <a:solidFill>
                          <a:srgbClr val="FFFFFF"/>
                        </a:solidFill>
                        <a:ln w="9525">
                          <a:solidFill>
                            <a:srgbClr val="000000"/>
                          </a:solidFill>
                          <a:miter lim="800000"/>
                          <a:headEnd/>
                          <a:tailEnd/>
                        </a:ln>
                      </wps:spPr>
                      <wps:txbx>
                        <w:txbxContent>
                          <w:p w14:paraId="24922743" w14:textId="77777777" w:rsidR="003F5E5C" w:rsidRPr="000906A8" w:rsidRDefault="003F5E5C">
                            <w:pPr>
                              <w:rPr>
                                <w:rFonts w:ascii="Arial" w:hAnsi="Arial" w:cs="Arial"/>
                                <w:sz w:val="22"/>
                                <w:szCs w:val="22"/>
                              </w:rPr>
                            </w:pPr>
                            <w:r w:rsidRPr="000906A8">
                              <w:rPr>
                                <w:rFonts w:ascii="Arial" w:hAnsi="Arial" w:cs="Arial"/>
                                <w:sz w:val="22"/>
                                <w:szCs w:val="22"/>
                              </w:rPr>
                              <w:t>DATE OF THIS NOTICE:  _____________</w:t>
                            </w:r>
                          </w:p>
                          <w:p w14:paraId="15F908AA" w14:textId="77777777" w:rsidR="003F5E5C" w:rsidRPr="000906A8" w:rsidRDefault="003F5E5C">
                            <w:pPr>
                              <w:rPr>
                                <w:rFonts w:ascii="Arial" w:hAnsi="Arial" w:cs="Arial"/>
                                <w:sz w:val="22"/>
                                <w:szCs w:val="22"/>
                              </w:rPr>
                            </w:pPr>
                          </w:p>
                          <w:p w14:paraId="0DCE14A3" w14:textId="77777777" w:rsidR="003F5E5C" w:rsidRPr="000906A8" w:rsidRDefault="003F5E5C">
                            <w:pPr>
                              <w:rPr>
                                <w:rFonts w:ascii="Arial" w:hAnsi="Arial" w:cs="Arial"/>
                                <w:sz w:val="22"/>
                                <w:szCs w:val="22"/>
                              </w:rPr>
                            </w:pPr>
                            <w:r w:rsidRPr="000906A8">
                              <w:rPr>
                                <w:rFonts w:ascii="Arial" w:hAnsi="Arial" w:cs="Arial"/>
                                <w:sz w:val="22"/>
                                <w:szCs w:val="22"/>
                              </w:rPr>
                              <w:t>RE:</w:t>
                            </w:r>
                            <w:r w:rsidRPr="000906A8">
                              <w:rPr>
                                <w:rFonts w:ascii="Arial" w:hAnsi="Arial" w:cs="Arial"/>
                                <w:sz w:val="22"/>
                                <w:szCs w:val="22"/>
                              </w:rPr>
                              <w:tab/>
                              <w:t>Name and address of Policyholder:</w:t>
                            </w:r>
                          </w:p>
                          <w:p w14:paraId="35FA7181" w14:textId="77777777" w:rsidR="003F5E5C" w:rsidRPr="000906A8" w:rsidRDefault="003F5E5C">
                            <w:pPr>
                              <w:rPr>
                                <w:rFonts w:ascii="Arial" w:hAnsi="Arial" w:cs="Arial"/>
                                <w:sz w:val="22"/>
                                <w:szCs w:val="22"/>
                              </w:rPr>
                            </w:pPr>
                            <w:r w:rsidRPr="000906A8">
                              <w:rPr>
                                <w:rFonts w:ascii="Arial" w:hAnsi="Arial" w:cs="Arial"/>
                                <w:sz w:val="22"/>
                                <w:szCs w:val="22"/>
                              </w:rPr>
                              <w:tab/>
                              <w:t>Policy Number or Other Reference (the Policy):</w:t>
                            </w:r>
                          </w:p>
                          <w:p w14:paraId="63E135DB" w14:textId="77777777" w:rsidR="003F5E5C" w:rsidRPr="000906A8" w:rsidRDefault="003F5E5C">
                            <w:pPr>
                              <w:rPr>
                                <w:rFonts w:ascii="Arial" w:hAnsi="Arial" w:cs="Arial"/>
                                <w:sz w:val="22"/>
                                <w:szCs w:val="22"/>
                              </w:rPr>
                            </w:pPr>
                            <w:r w:rsidRPr="000906A8">
                              <w:rPr>
                                <w:rFonts w:ascii="Arial" w:hAnsi="Arial" w:cs="Arial"/>
                                <w:sz w:val="22"/>
                                <w:szCs w:val="22"/>
                              </w:rPr>
                              <w:tab/>
                              <w:t>Policy Effective Dates:</w:t>
                            </w:r>
                          </w:p>
                          <w:p w14:paraId="51DC0426" w14:textId="77777777" w:rsidR="003F5E5C" w:rsidRDefault="003F5E5C">
                            <w:r>
                              <w:tab/>
                            </w:r>
                          </w:p>
                          <w:p w14:paraId="00980DBC" w14:textId="77777777" w:rsidR="003F5E5C" w:rsidRDefault="003F5E5C"/>
                          <w:p w14:paraId="6453964C" w14:textId="77777777" w:rsidR="003F5E5C" w:rsidRDefault="003F5E5C">
                            <w:r>
                              <w:tab/>
                            </w:r>
                          </w:p>
                          <w:p w14:paraId="75B9D9DE" w14:textId="77777777" w:rsidR="003F5E5C" w:rsidRDefault="003F5E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FE6E7" id="_x0000_t202" coordsize="21600,21600" o:spt="202" path="m,l,21600r21600,l21600,xe">
                <v:stroke joinstyle="miter"/>
                <v:path gradientshapeok="t" o:connecttype="rect"/>
              </v:shapetype>
              <v:shape id="Text Box 1" o:spid="_x0000_s1026" type="#_x0000_t202" style="position:absolute;left:0;text-align:left;margin-left:.5pt;margin-top:15pt;width:7in;height:10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" o:allowincell="f">
                <v:textbox>
                  <w:txbxContent>
                    <w:p w14:paraId="24922743" w14:textId="77777777" w:rsidR="003F5E5C" w:rsidRPr="000906A8" w:rsidRDefault="003F5E5C">
                      <w:pPr>
                        <w:rPr>
                          <w:rFonts w:ascii="Arial" w:hAnsi="Arial" w:cs="Arial"/>
                          <w:sz w:val="22"/>
                          <w:szCs w:val="22"/>
                        </w:rPr>
                      </w:pPr>
                      <w:r w:rsidRPr="000906A8">
                        <w:rPr>
                          <w:rFonts w:ascii="Arial" w:hAnsi="Arial" w:cs="Arial"/>
                          <w:sz w:val="22"/>
                          <w:szCs w:val="22"/>
                        </w:rPr>
                        <w:t>DATE OF THIS NOTICE:  _____________</w:t>
                      </w:r>
                    </w:p>
                    <w:p w14:paraId="15F908AA" w14:textId="77777777" w:rsidR="003F5E5C" w:rsidRPr="000906A8" w:rsidRDefault="003F5E5C">
                      <w:pPr>
                        <w:rPr>
                          <w:rFonts w:ascii="Arial" w:hAnsi="Arial" w:cs="Arial"/>
                          <w:sz w:val="22"/>
                          <w:szCs w:val="22"/>
                        </w:rPr>
                      </w:pPr>
                    </w:p>
                    <w:p w14:paraId="0DCE14A3" w14:textId="77777777" w:rsidR="003F5E5C" w:rsidRPr="000906A8" w:rsidRDefault="003F5E5C">
                      <w:pPr>
                        <w:rPr>
                          <w:rFonts w:ascii="Arial" w:hAnsi="Arial" w:cs="Arial"/>
                          <w:sz w:val="22"/>
                          <w:szCs w:val="22"/>
                        </w:rPr>
                      </w:pPr>
                      <w:r w:rsidRPr="000906A8">
                        <w:rPr>
                          <w:rFonts w:ascii="Arial" w:hAnsi="Arial" w:cs="Arial"/>
                          <w:sz w:val="22"/>
                          <w:szCs w:val="22"/>
                        </w:rPr>
                        <w:t>RE:</w:t>
                      </w:r>
                      <w:r w:rsidRPr="000906A8">
                        <w:rPr>
                          <w:rFonts w:ascii="Arial" w:hAnsi="Arial" w:cs="Arial"/>
                          <w:sz w:val="22"/>
                          <w:szCs w:val="22"/>
                        </w:rPr>
                        <w:tab/>
                        <w:t>Name and address of Policyholder:</w:t>
                      </w:r>
                    </w:p>
                    <w:p w14:paraId="35FA7181" w14:textId="77777777" w:rsidR="003F5E5C" w:rsidRPr="000906A8" w:rsidRDefault="003F5E5C">
                      <w:pPr>
                        <w:rPr>
                          <w:rFonts w:ascii="Arial" w:hAnsi="Arial" w:cs="Arial"/>
                          <w:sz w:val="22"/>
                          <w:szCs w:val="22"/>
                        </w:rPr>
                      </w:pPr>
                      <w:r w:rsidRPr="000906A8">
                        <w:rPr>
                          <w:rFonts w:ascii="Arial" w:hAnsi="Arial" w:cs="Arial"/>
                          <w:sz w:val="22"/>
                          <w:szCs w:val="22"/>
                        </w:rPr>
                        <w:tab/>
                        <w:t>Policy Number or Other Reference (the Policy):</w:t>
                      </w:r>
                    </w:p>
                    <w:p w14:paraId="63E135DB" w14:textId="77777777" w:rsidR="003F5E5C" w:rsidRPr="000906A8" w:rsidRDefault="003F5E5C">
                      <w:pPr>
                        <w:rPr>
                          <w:rFonts w:ascii="Arial" w:hAnsi="Arial" w:cs="Arial"/>
                          <w:sz w:val="22"/>
                          <w:szCs w:val="22"/>
                        </w:rPr>
                      </w:pPr>
                      <w:r w:rsidRPr="000906A8">
                        <w:rPr>
                          <w:rFonts w:ascii="Arial" w:hAnsi="Arial" w:cs="Arial"/>
                          <w:sz w:val="22"/>
                          <w:szCs w:val="22"/>
                        </w:rPr>
                        <w:tab/>
                        <w:t>Policy Effective Dates:</w:t>
                      </w:r>
                    </w:p>
                    <w:p w14:paraId="51DC0426" w14:textId="77777777" w:rsidR="003F5E5C" w:rsidRDefault="003F5E5C">
                      <w:r>
                        <w:tab/>
                      </w:r>
                    </w:p>
                    <w:p w14:paraId="00980DBC" w14:textId="77777777" w:rsidR="003F5E5C" w:rsidRDefault="003F5E5C"/>
                    <w:p w14:paraId="6453964C" w14:textId="77777777" w:rsidR="003F5E5C" w:rsidRDefault="003F5E5C">
                      <w:r>
                        <w:tab/>
                      </w:r>
                    </w:p>
                    <w:p w14:paraId="75B9D9DE" w14:textId="77777777" w:rsidR="003F5E5C" w:rsidRDefault="003F5E5C"/>
                  </w:txbxContent>
                </v:textbox>
              </v:shape>
            </w:pict>
          </mc:Fallback>
        </mc:AlternateContent>
      </w:r>
    </w:p>
    <w:p w14:paraId="09D9C75F" w14:textId="77777777" w:rsidR="003F5E5C" w:rsidRPr="000906A8" w:rsidRDefault="003F5E5C">
      <w:pPr>
        <w:pStyle w:val="TitleBC"/>
        <w:rPr>
          <w:rFonts w:ascii="Arial" w:hAnsi="Arial" w:cs="Arial"/>
          <w:sz w:val="22"/>
          <w:szCs w:val="22"/>
        </w:rPr>
      </w:pPr>
    </w:p>
    <w:p w14:paraId="02C2390B" w14:textId="77777777" w:rsidR="003F5E5C" w:rsidRPr="000906A8" w:rsidRDefault="003F5E5C">
      <w:pPr>
        <w:pStyle w:val="TitleBC"/>
        <w:rPr>
          <w:rFonts w:ascii="Arial" w:hAnsi="Arial" w:cs="Arial"/>
          <w:sz w:val="22"/>
          <w:szCs w:val="22"/>
        </w:rPr>
      </w:pPr>
    </w:p>
    <w:p w14:paraId="701310F1" w14:textId="77777777" w:rsidR="003F5E5C" w:rsidRPr="000906A8" w:rsidRDefault="003F5E5C">
      <w:pPr>
        <w:pStyle w:val="TitleBC"/>
        <w:rPr>
          <w:rFonts w:ascii="Arial" w:hAnsi="Arial" w:cs="Arial"/>
          <w:sz w:val="22"/>
          <w:szCs w:val="22"/>
        </w:rPr>
      </w:pPr>
    </w:p>
    <w:p w14:paraId="267DE55E" w14:textId="77777777" w:rsidR="003F5E5C" w:rsidRPr="000906A8" w:rsidRDefault="003F5E5C">
      <w:pPr>
        <w:pStyle w:val="TitleBC"/>
        <w:rPr>
          <w:rFonts w:ascii="Arial" w:hAnsi="Arial" w:cs="Arial"/>
          <w:sz w:val="22"/>
          <w:szCs w:val="22"/>
        </w:rPr>
      </w:pPr>
    </w:p>
    <w:p w14:paraId="46D4FC46" w14:textId="77777777" w:rsidR="003F5E5C" w:rsidRDefault="003F5E5C">
      <w:pPr>
        <w:rPr>
          <w:rFonts w:ascii="Arial" w:hAnsi="Arial" w:cs="Arial"/>
          <w:b/>
          <w:bCs/>
          <w:iCs/>
          <w:kern w:val="18"/>
          <w:sz w:val="22"/>
          <w:szCs w:val="22"/>
        </w:rPr>
      </w:pPr>
    </w:p>
    <w:p w14:paraId="73DEDAF3" w14:textId="77777777" w:rsidR="000906A8" w:rsidRPr="000906A8" w:rsidRDefault="000906A8" w:rsidP="000906A8">
      <w:pPr>
        <w:rPr>
          <w:rFonts w:ascii="Arial" w:hAnsi="Arial" w:cs="Arial"/>
          <w:b/>
          <w:bCs/>
          <w:iCs/>
          <w:kern w:val="18"/>
          <w:sz w:val="22"/>
          <w:szCs w:val="22"/>
        </w:rPr>
      </w:pPr>
    </w:p>
    <w:p w14:paraId="4565DCF5" w14:textId="77777777" w:rsidR="00CB271C" w:rsidRPr="00CB271C" w:rsidRDefault="00CB271C" w:rsidP="00CB271C">
      <w:pPr>
        <w:pStyle w:val="BodyTextIndentFirstLine"/>
        <w:spacing w:after="0"/>
        <w:ind w:firstLine="0"/>
        <w:jc w:val="both"/>
        <w:rPr>
          <w:rFonts w:ascii="Arial" w:hAnsi="Arial" w:cs="Arial"/>
          <w:sz w:val="20"/>
          <w:szCs w:val="20"/>
        </w:rPr>
      </w:pPr>
      <w:bookmarkStart w:id="0" w:name="_Hlk120885855"/>
    </w:p>
    <w:p w14:paraId="6FDA8994" w14:textId="77777777" w:rsidR="003F5E5C" w:rsidRPr="001C0B93" w:rsidRDefault="003F5E5C" w:rsidP="000906A8">
      <w:pPr>
        <w:pStyle w:val="BodyTextIndentFirstLine"/>
        <w:spacing w:after="0"/>
        <w:ind w:firstLine="0"/>
        <w:rPr>
          <w:rFonts w:ascii="Arial" w:hAnsi="Arial" w:cs="Arial"/>
          <w:b/>
          <w:bCs/>
          <w:i/>
          <w:iCs/>
          <w:sz w:val="20"/>
          <w:szCs w:val="20"/>
        </w:rPr>
      </w:pPr>
      <w:r w:rsidRPr="001C0B93">
        <w:rPr>
          <w:rFonts w:ascii="Arial" w:hAnsi="Arial" w:cs="Arial"/>
          <w:b/>
          <w:bCs/>
          <w:i/>
          <w:iCs/>
          <w:sz w:val="20"/>
          <w:szCs w:val="20"/>
        </w:rPr>
        <w:t>PRICE CAP EXCEPTION CLAUSE (HULL)</w:t>
      </w:r>
    </w:p>
    <w:p w14:paraId="2DDCE628" w14:textId="77777777" w:rsidR="000906A8" w:rsidRPr="001C0B93" w:rsidRDefault="000906A8" w:rsidP="000906A8">
      <w:pPr>
        <w:pStyle w:val="BodyTextIndentFirstLine"/>
        <w:spacing w:after="0"/>
        <w:ind w:firstLine="0"/>
        <w:rPr>
          <w:rFonts w:ascii="Arial" w:hAnsi="Arial" w:cs="Arial"/>
          <w:b/>
          <w:bCs/>
          <w:i/>
          <w:iCs/>
          <w:sz w:val="20"/>
          <w:szCs w:val="20"/>
        </w:rPr>
      </w:pPr>
    </w:p>
    <w:bookmarkEnd w:id="0"/>
    <w:p w14:paraId="0E765BE2" w14:textId="77777777" w:rsidR="00911CEC" w:rsidRDefault="003F5E5C" w:rsidP="00436E36">
      <w:pPr>
        <w:pStyle w:val="BodyTextIndentFirstLine"/>
        <w:numPr>
          <w:ilvl w:val="0"/>
          <w:numId w:val="22"/>
        </w:numPr>
        <w:spacing w:after="0"/>
        <w:jc w:val="both"/>
        <w:rPr>
          <w:rFonts w:ascii="Arial" w:hAnsi="Arial" w:cs="Arial"/>
          <w:sz w:val="20"/>
          <w:szCs w:val="20"/>
        </w:rPr>
      </w:pPr>
      <w:r w:rsidRPr="001C0B93">
        <w:rPr>
          <w:rFonts w:ascii="Arial" w:hAnsi="Arial" w:cs="Arial"/>
          <w:sz w:val="20"/>
          <w:szCs w:val="20"/>
        </w:rPr>
        <w:t>It is a condition precedent to liability under the policy that</w:t>
      </w:r>
      <w:r w:rsidR="00911CEC">
        <w:rPr>
          <w:rFonts w:ascii="Arial" w:hAnsi="Arial" w:cs="Arial"/>
          <w:sz w:val="20"/>
          <w:szCs w:val="20"/>
        </w:rPr>
        <w:t>:</w:t>
      </w:r>
      <w:r w:rsidR="00436E36">
        <w:rPr>
          <w:rFonts w:ascii="Arial" w:hAnsi="Arial" w:cs="Arial"/>
          <w:sz w:val="20"/>
          <w:szCs w:val="20"/>
        </w:rPr>
        <w:t xml:space="preserve"> </w:t>
      </w:r>
    </w:p>
    <w:p w14:paraId="6DAFAE49" w14:textId="77777777" w:rsidR="00911CEC" w:rsidRDefault="00911CEC" w:rsidP="00911CEC">
      <w:pPr>
        <w:pStyle w:val="BodyTextIndentFirstLine"/>
        <w:spacing w:after="0"/>
        <w:ind w:left="720" w:firstLine="0"/>
        <w:jc w:val="both"/>
        <w:rPr>
          <w:rFonts w:ascii="Arial" w:hAnsi="Arial" w:cs="Arial"/>
          <w:sz w:val="20"/>
          <w:szCs w:val="20"/>
        </w:rPr>
      </w:pPr>
    </w:p>
    <w:p w14:paraId="07BE27C6" w14:textId="77777777" w:rsidR="00436E36" w:rsidRDefault="003F5E5C" w:rsidP="00911CEC">
      <w:pPr>
        <w:pStyle w:val="BodyTextIndentFirstLine"/>
        <w:numPr>
          <w:ilvl w:val="1"/>
          <w:numId w:val="22"/>
        </w:numPr>
        <w:spacing w:after="0"/>
        <w:jc w:val="both"/>
        <w:rPr>
          <w:rFonts w:ascii="Arial" w:hAnsi="Arial" w:cs="Arial"/>
          <w:sz w:val="20"/>
          <w:szCs w:val="20"/>
        </w:rPr>
      </w:pPr>
      <w:r w:rsidRPr="00436E36">
        <w:rPr>
          <w:rFonts w:ascii="Arial" w:hAnsi="Arial" w:cs="Arial"/>
          <w:sz w:val="20"/>
          <w:szCs w:val="20"/>
        </w:rPr>
        <w:t>prior to inception of the policy</w:t>
      </w:r>
      <w:r w:rsidR="00911CEC">
        <w:rPr>
          <w:rFonts w:ascii="Arial" w:hAnsi="Arial" w:cs="Arial"/>
          <w:sz w:val="20"/>
          <w:szCs w:val="20"/>
        </w:rPr>
        <w:t>,</w:t>
      </w:r>
      <w:r w:rsidRPr="00436E36">
        <w:rPr>
          <w:rFonts w:ascii="Arial" w:hAnsi="Arial" w:cs="Arial"/>
          <w:sz w:val="20"/>
          <w:szCs w:val="20"/>
        </w:rPr>
        <w:t xml:space="preserve"> the insured provides Underwriters with a signed attestation in the form of or substantially equivalent to that in Appendix 1 stating</w:t>
      </w:r>
      <w:r w:rsidR="00A7138E" w:rsidRPr="00436E36">
        <w:rPr>
          <w:rFonts w:ascii="Arial" w:hAnsi="Arial" w:cs="Arial"/>
          <w:sz w:val="20"/>
          <w:szCs w:val="20"/>
        </w:rPr>
        <w:t xml:space="preserve"> that</w:t>
      </w:r>
      <w:r w:rsidR="00081102" w:rsidRPr="00436E36">
        <w:rPr>
          <w:rFonts w:ascii="Arial" w:hAnsi="Arial" w:cs="Arial"/>
          <w:sz w:val="20"/>
          <w:szCs w:val="20"/>
        </w:rPr>
        <w:t>:</w:t>
      </w:r>
      <w:r w:rsidRPr="00436E36">
        <w:rPr>
          <w:rFonts w:ascii="Arial" w:hAnsi="Arial" w:cs="Arial"/>
          <w:sz w:val="20"/>
          <w:szCs w:val="20"/>
        </w:rPr>
        <w:t xml:space="preserve"> </w:t>
      </w:r>
    </w:p>
    <w:p w14:paraId="25089725" w14:textId="77777777" w:rsidR="00436E36" w:rsidRDefault="00436E36" w:rsidP="00436E36">
      <w:pPr>
        <w:pStyle w:val="BodyTextIndentFirstLine"/>
        <w:spacing w:after="0"/>
        <w:ind w:left="720" w:firstLine="0"/>
        <w:jc w:val="both"/>
        <w:rPr>
          <w:rFonts w:ascii="Arial" w:hAnsi="Arial" w:cs="Arial"/>
          <w:sz w:val="20"/>
          <w:szCs w:val="20"/>
        </w:rPr>
      </w:pPr>
    </w:p>
    <w:p w14:paraId="559B3377" w14:textId="77777777" w:rsidR="00436E36" w:rsidRDefault="003F5E5C" w:rsidP="00911CEC">
      <w:pPr>
        <w:pStyle w:val="BodyTextIndentFirstLine"/>
        <w:numPr>
          <w:ilvl w:val="2"/>
          <w:numId w:val="22"/>
        </w:numPr>
        <w:spacing w:after="0"/>
        <w:jc w:val="both"/>
        <w:rPr>
          <w:rFonts w:ascii="Arial" w:hAnsi="Arial" w:cs="Arial"/>
          <w:sz w:val="20"/>
          <w:szCs w:val="20"/>
        </w:rPr>
      </w:pPr>
      <w:r w:rsidRPr="00436E36">
        <w:rPr>
          <w:rFonts w:ascii="Arial" w:hAnsi="Arial" w:cs="Arial"/>
          <w:sz w:val="20"/>
          <w:szCs w:val="20"/>
        </w:rPr>
        <w:t xml:space="preserve">the insured, the insured vessel(s) and any vessel which may subsequently be insured </w:t>
      </w:r>
      <w:r w:rsidR="006F7BC1" w:rsidRPr="00436E36">
        <w:rPr>
          <w:rFonts w:ascii="Arial" w:hAnsi="Arial" w:cs="Arial"/>
          <w:sz w:val="20"/>
          <w:szCs w:val="20"/>
        </w:rPr>
        <w:t xml:space="preserve">under or pursuant to the policy </w:t>
      </w:r>
      <w:r w:rsidRPr="00436E36">
        <w:rPr>
          <w:rFonts w:ascii="Arial" w:hAnsi="Arial" w:cs="Arial"/>
          <w:sz w:val="20"/>
          <w:szCs w:val="20"/>
        </w:rPr>
        <w:t xml:space="preserve">will not at any time during the policy period and in any way whatsoever, whether directly or indirectly, be involved in a Prohibited Activity unless the price paid for the Russian Oil </w:t>
      </w:r>
      <w:r w:rsidR="00972C0D" w:rsidRPr="00436E36">
        <w:rPr>
          <w:rFonts w:ascii="Arial" w:hAnsi="Arial" w:cs="Arial"/>
          <w:sz w:val="20"/>
          <w:szCs w:val="20"/>
        </w:rPr>
        <w:t>or the Russian Oil Product</w:t>
      </w:r>
      <w:r w:rsidR="00B24FF7" w:rsidRPr="00436E36">
        <w:rPr>
          <w:rFonts w:ascii="Arial" w:hAnsi="Arial" w:cs="Arial"/>
          <w:sz w:val="20"/>
          <w:szCs w:val="20"/>
        </w:rPr>
        <w:t>, as the case may be,</w:t>
      </w:r>
      <w:r w:rsidR="00972C0D" w:rsidRPr="00436E36">
        <w:rPr>
          <w:rFonts w:ascii="Arial" w:hAnsi="Arial" w:cs="Arial"/>
          <w:sz w:val="20"/>
          <w:szCs w:val="20"/>
        </w:rPr>
        <w:t xml:space="preserve"> </w:t>
      </w:r>
      <w:r w:rsidRPr="00436E36">
        <w:rPr>
          <w:rFonts w:ascii="Arial" w:hAnsi="Arial" w:cs="Arial"/>
          <w:sz w:val="20"/>
          <w:szCs w:val="20"/>
        </w:rPr>
        <w:t>at all material times complies with the</w:t>
      </w:r>
      <w:r w:rsidR="00972C0D" w:rsidRPr="00436E36">
        <w:rPr>
          <w:rFonts w:ascii="Arial" w:hAnsi="Arial" w:cs="Arial"/>
          <w:sz w:val="20"/>
          <w:szCs w:val="20"/>
        </w:rPr>
        <w:t xml:space="preserve"> relevant</w:t>
      </w:r>
      <w:r w:rsidRPr="00436E36">
        <w:rPr>
          <w:rFonts w:ascii="Arial" w:hAnsi="Arial" w:cs="Arial"/>
          <w:sz w:val="20"/>
          <w:szCs w:val="20"/>
        </w:rPr>
        <w:t xml:space="preserve"> Price Cap; </w:t>
      </w:r>
      <w:r w:rsidR="0053055B">
        <w:rPr>
          <w:rFonts w:ascii="Arial" w:hAnsi="Arial" w:cs="Arial"/>
          <w:sz w:val="20"/>
          <w:szCs w:val="20"/>
        </w:rPr>
        <w:t>and</w:t>
      </w:r>
    </w:p>
    <w:p w14:paraId="3E1251F1" w14:textId="77777777" w:rsidR="00436E36" w:rsidRDefault="00436E36" w:rsidP="00436E36">
      <w:pPr>
        <w:pStyle w:val="BodyTextIndentFirstLine"/>
        <w:spacing w:after="0"/>
        <w:ind w:left="1440" w:firstLine="0"/>
        <w:jc w:val="both"/>
        <w:rPr>
          <w:rFonts w:ascii="Arial" w:hAnsi="Arial" w:cs="Arial"/>
          <w:sz w:val="20"/>
          <w:szCs w:val="20"/>
        </w:rPr>
      </w:pPr>
    </w:p>
    <w:p w14:paraId="5FDE721A" w14:textId="77777777" w:rsidR="00FA361C" w:rsidRDefault="003F5E5C" w:rsidP="00911CEC">
      <w:pPr>
        <w:pStyle w:val="BodyTextIndentFirstLine"/>
        <w:numPr>
          <w:ilvl w:val="2"/>
          <w:numId w:val="22"/>
        </w:numPr>
        <w:spacing w:after="0"/>
        <w:jc w:val="both"/>
        <w:rPr>
          <w:rFonts w:ascii="Arial" w:hAnsi="Arial" w:cs="Arial"/>
          <w:sz w:val="20"/>
          <w:szCs w:val="20"/>
        </w:rPr>
      </w:pPr>
      <w:r w:rsidRPr="00436E36">
        <w:rPr>
          <w:rFonts w:ascii="Arial" w:hAnsi="Arial" w:cs="Arial"/>
          <w:sz w:val="20"/>
          <w:szCs w:val="20"/>
        </w:rPr>
        <w:t xml:space="preserve">the insured has taken, is taking and will take all reasonable steps available to it to ensure compliance with the stipulations in </w:t>
      </w:r>
      <w:r w:rsidR="00435AFE" w:rsidRPr="00436E36">
        <w:rPr>
          <w:rFonts w:ascii="Arial" w:hAnsi="Arial" w:cs="Arial"/>
          <w:sz w:val="20"/>
          <w:szCs w:val="20"/>
        </w:rPr>
        <w:t>Clause 1(a)</w:t>
      </w:r>
      <w:r w:rsidRPr="00436E36">
        <w:rPr>
          <w:rFonts w:ascii="Arial" w:hAnsi="Arial" w:cs="Arial"/>
          <w:sz w:val="20"/>
          <w:szCs w:val="20"/>
        </w:rPr>
        <w:t>(i)</w:t>
      </w:r>
      <w:r w:rsidR="00E85FD6" w:rsidRPr="00436E36">
        <w:rPr>
          <w:rFonts w:ascii="Arial" w:hAnsi="Arial" w:cs="Arial"/>
          <w:sz w:val="20"/>
          <w:szCs w:val="20"/>
        </w:rPr>
        <w:t xml:space="preserve"> </w:t>
      </w:r>
      <w:r w:rsidR="0037661F" w:rsidRPr="00436E36">
        <w:rPr>
          <w:rFonts w:ascii="Arial" w:hAnsi="Arial" w:cs="Arial"/>
          <w:sz w:val="20"/>
          <w:szCs w:val="20"/>
        </w:rPr>
        <w:t>regardless of whether the insured itself is under a legal obligation to comply with the laws, regulations and rules concerning the maritime transportation and related services prohibition, and the Price Cap exception thereto, imposed by the Price Cap Coalition</w:t>
      </w:r>
      <w:r w:rsidR="0053055B">
        <w:rPr>
          <w:rFonts w:ascii="Arial" w:hAnsi="Arial" w:cs="Arial"/>
          <w:sz w:val="20"/>
          <w:szCs w:val="20"/>
        </w:rPr>
        <w:t>.</w:t>
      </w:r>
    </w:p>
    <w:p w14:paraId="73CC2A55" w14:textId="77777777" w:rsidR="00911CEC" w:rsidRDefault="00911CEC" w:rsidP="0053055B">
      <w:pPr>
        <w:pStyle w:val="ListParagraph"/>
        <w:ind w:left="0"/>
        <w:rPr>
          <w:rFonts w:ascii="Arial" w:hAnsi="Arial" w:cs="Arial"/>
          <w:sz w:val="20"/>
          <w:szCs w:val="20"/>
        </w:rPr>
      </w:pPr>
    </w:p>
    <w:p w14:paraId="7A80E561" w14:textId="1F999752" w:rsidR="00911CEC" w:rsidRDefault="00911CEC" w:rsidP="00911CEC">
      <w:pPr>
        <w:pStyle w:val="BodyTextIndentFirstLine"/>
        <w:numPr>
          <w:ilvl w:val="1"/>
          <w:numId w:val="22"/>
        </w:numPr>
        <w:spacing w:after="0"/>
        <w:jc w:val="both"/>
        <w:rPr>
          <w:rFonts w:ascii="Arial" w:hAnsi="Arial" w:cs="Arial"/>
          <w:sz w:val="20"/>
          <w:szCs w:val="20"/>
        </w:rPr>
      </w:pPr>
      <w:r w:rsidRPr="00436E36">
        <w:rPr>
          <w:rFonts w:ascii="Arial" w:hAnsi="Arial" w:cs="Arial"/>
          <w:sz w:val="20"/>
          <w:szCs w:val="20"/>
        </w:rPr>
        <w:t xml:space="preserve">within </w:t>
      </w:r>
      <w:r w:rsidR="00ED7BFB">
        <w:rPr>
          <w:rFonts w:ascii="Arial" w:hAnsi="Arial" w:cs="Arial"/>
          <w:sz w:val="20"/>
          <w:szCs w:val="20"/>
        </w:rPr>
        <w:t>30</w:t>
      </w:r>
      <w:r w:rsidRPr="00436E36">
        <w:rPr>
          <w:rFonts w:ascii="Arial" w:hAnsi="Arial" w:cs="Arial"/>
          <w:sz w:val="20"/>
          <w:szCs w:val="20"/>
        </w:rPr>
        <w:t xml:space="preserve"> days of the commencement of </w:t>
      </w:r>
      <w:r w:rsidR="00683E92">
        <w:rPr>
          <w:rFonts w:ascii="Arial" w:hAnsi="Arial" w:cs="Arial"/>
          <w:sz w:val="20"/>
          <w:szCs w:val="20"/>
        </w:rPr>
        <w:t>each</w:t>
      </w:r>
      <w:r w:rsidRPr="00436E36">
        <w:rPr>
          <w:rFonts w:ascii="Arial" w:hAnsi="Arial" w:cs="Arial"/>
          <w:sz w:val="20"/>
          <w:szCs w:val="20"/>
        </w:rPr>
        <w:t xml:space="preserve"> Qualifying Voyage,</w:t>
      </w:r>
      <w:r>
        <w:rPr>
          <w:rFonts w:ascii="Arial" w:hAnsi="Arial" w:cs="Arial"/>
          <w:sz w:val="20"/>
          <w:szCs w:val="20"/>
        </w:rPr>
        <w:t xml:space="preserve"> the insured provides Underwriters with a signed attestation in the form of or substantially equivalent to that in Appendix 2 stating that:</w:t>
      </w:r>
    </w:p>
    <w:p w14:paraId="3DECA6A9" w14:textId="77777777" w:rsidR="00911CEC" w:rsidRDefault="00911CEC" w:rsidP="00911CEC">
      <w:pPr>
        <w:pStyle w:val="BodyTextIndentFirstLine"/>
        <w:spacing w:after="0"/>
        <w:ind w:left="1440" w:firstLine="0"/>
        <w:jc w:val="both"/>
        <w:rPr>
          <w:rFonts w:ascii="Arial" w:hAnsi="Arial" w:cs="Arial"/>
          <w:sz w:val="20"/>
          <w:szCs w:val="20"/>
        </w:rPr>
      </w:pPr>
    </w:p>
    <w:p w14:paraId="3AC274F1" w14:textId="77777777" w:rsidR="00911CEC" w:rsidRDefault="009D6AE1" w:rsidP="00911CEC">
      <w:pPr>
        <w:pStyle w:val="BodyTextIndentFirstLine"/>
        <w:numPr>
          <w:ilvl w:val="2"/>
          <w:numId w:val="22"/>
        </w:numPr>
        <w:spacing w:after="0"/>
        <w:jc w:val="both"/>
        <w:rPr>
          <w:rFonts w:ascii="Arial" w:hAnsi="Arial" w:cs="Arial"/>
          <w:sz w:val="20"/>
          <w:szCs w:val="20"/>
        </w:rPr>
      </w:pPr>
      <w:r w:rsidRPr="00436E36">
        <w:rPr>
          <w:rFonts w:ascii="Arial" w:hAnsi="Arial" w:cs="Arial"/>
          <w:sz w:val="20"/>
          <w:szCs w:val="20"/>
        </w:rPr>
        <w:t>the price paid for the Russian Oil or the Russian Oil Product, as the case may be,</w:t>
      </w:r>
      <w:r>
        <w:rPr>
          <w:rFonts w:ascii="Arial" w:hAnsi="Arial" w:cs="Arial"/>
          <w:sz w:val="20"/>
          <w:szCs w:val="20"/>
        </w:rPr>
        <w:t xml:space="preserve"> lifted by or loaded onto the insured vessel complies with the relevant Price Cap;</w:t>
      </w:r>
    </w:p>
    <w:p w14:paraId="510D0955" w14:textId="77777777" w:rsidR="001D424C" w:rsidRDefault="001D424C" w:rsidP="001D424C">
      <w:pPr>
        <w:pStyle w:val="BodyTextIndentFirstLine"/>
        <w:spacing w:after="0"/>
        <w:ind w:left="2160" w:firstLine="0"/>
        <w:jc w:val="both"/>
        <w:rPr>
          <w:rFonts w:ascii="Arial" w:hAnsi="Arial" w:cs="Arial"/>
          <w:sz w:val="20"/>
          <w:szCs w:val="20"/>
        </w:rPr>
      </w:pPr>
    </w:p>
    <w:p w14:paraId="7C2BDC2A" w14:textId="77777777" w:rsidR="00105738" w:rsidRDefault="009D6AE1" w:rsidP="00911CEC">
      <w:pPr>
        <w:pStyle w:val="BodyTextIndentFirstLine"/>
        <w:numPr>
          <w:ilvl w:val="2"/>
          <w:numId w:val="22"/>
        </w:numPr>
        <w:spacing w:after="0"/>
        <w:jc w:val="both"/>
        <w:rPr>
          <w:rFonts w:ascii="Arial" w:hAnsi="Arial" w:cs="Arial"/>
          <w:sz w:val="20"/>
          <w:szCs w:val="20"/>
        </w:rPr>
      </w:pPr>
      <w:r>
        <w:rPr>
          <w:rFonts w:ascii="Arial" w:hAnsi="Arial" w:cs="Arial"/>
          <w:sz w:val="20"/>
          <w:szCs w:val="20"/>
        </w:rPr>
        <w:t xml:space="preserve">the insured </w:t>
      </w:r>
      <w:r w:rsidRPr="009D6AE1">
        <w:rPr>
          <w:rFonts w:ascii="Arial" w:hAnsi="Arial" w:cs="Arial"/>
          <w:sz w:val="20"/>
          <w:szCs w:val="20"/>
        </w:rPr>
        <w:t>holds</w:t>
      </w:r>
      <w:r w:rsidR="007E458B">
        <w:rPr>
          <w:rFonts w:ascii="Arial" w:hAnsi="Arial" w:cs="Arial"/>
          <w:sz w:val="20"/>
          <w:szCs w:val="20"/>
        </w:rPr>
        <w:t xml:space="preserve"> </w:t>
      </w:r>
      <w:r w:rsidRPr="009D6AE1">
        <w:rPr>
          <w:rFonts w:ascii="Arial" w:hAnsi="Arial" w:cs="Arial"/>
          <w:sz w:val="20"/>
          <w:szCs w:val="20"/>
        </w:rPr>
        <w:t>(</w:t>
      </w:r>
      <w:r>
        <w:rPr>
          <w:rFonts w:ascii="Arial" w:hAnsi="Arial" w:cs="Arial"/>
          <w:sz w:val="20"/>
          <w:szCs w:val="20"/>
        </w:rPr>
        <w:t>1</w:t>
      </w:r>
      <w:r w:rsidRPr="009D6AE1">
        <w:rPr>
          <w:rFonts w:ascii="Arial" w:hAnsi="Arial" w:cs="Arial"/>
          <w:sz w:val="20"/>
          <w:szCs w:val="20"/>
        </w:rPr>
        <w:t xml:space="preserve">) </w:t>
      </w:r>
      <w:r w:rsidR="00232948">
        <w:rPr>
          <w:rFonts w:ascii="Arial" w:hAnsi="Arial" w:cs="Arial"/>
          <w:sz w:val="20"/>
          <w:szCs w:val="20"/>
        </w:rPr>
        <w:t xml:space="preserve">price </w:t>
      </w:r>
      <w:r w:rsidRPr="009D6AE1">
        <w:rPr>
          <w:rFonts w:ascii="Arial" w:hAnsi="Arial" w:cs="Arial"/>
          <w:sz w:val="20"/>
          <w:szCs w:val="20"/>
        </w:rPr>
        <w:t xml:space="preserve">information demonstrating that </w:t>
      </w:r>
      <w:r>
        <w:rPr>
          <w:rFonts w:ascii="Arial" w:hAnsi="Arial" w:cs="Arial"/>
          <w:sz w:val="20"/>
          <w:szCs w:val="20"/>
        </w:rPr>
        <w:t>the</w:t>
      </w:r>
      <w:r w:rsidRPr="009D6AE1">
        <w:rPr>
          <w:rFonts w:ascii="Arial" w:hAnsi="Arial" w:cs="Arial"/>
          <w:sz w:val="20"/>
          <w:szCs w:val="20"/>
        </w:rPr>
        <w:t xml:space="preserve"> Russian Oil or Russian Oil Product </w:t>
      </w:r>
      <w:r>
        <w:rPr>
          <w:rFonts w:ascii="Arial" w:hAnsi="Arial" w:cs="Arial"/>
          <w:sz w:val="20"/>
          <w:szCs w:val="20"/>
        </w:rPr>
        <w:t>lifted by or loaded onto the insured vessel</w:t>
      </w:r>
      <w:r w:rsidRPr="009D6AE1">
        <w:rPr>
          <w:rFonts w:ascii="Arial" w:hAnsi="Arial" w:cs="Arial"/>
          <w:sz w:val="20"/>
          <w:szCs w:val="20"/>
        </w:rPr>
        <w:t xml:space="preserve"> was at all material times purchased or sold at or below the relevant Price Cap, unless it was and remains not practicable to request and receive such information; and (</w:t>
      </w:r>
      <w:r>
        <w:rPr>
          <w:rFonts w:ascii="Arial" w:hAnsi="Arial" w:cs="Arial"/>
          <w:sz w:val="20"/>
          <w:szCs w:val="20"/>
        </w:rPr>
        <w:t>2</w:t>
      </w:r>
      <w:r w:rsidRPr="009D6AE1">
        <w:rPr>
          <w:rFonts w:ascii="Arial" w:hAnsi="Arial" w:cs="Arial"/>
          <w:sz w:val="20"/>
          <w:szCs w:val="20"/>
        </w:rPr>
        <w:t xml:space="preserve">) a signed attestation from the party with whom it contracted in connection with the use or operation of the </w:t>
      </w:r>
      <w:r>
        <w:rPr>
          <w:rFonts w:ascii="Arial" w:hAnsi="Arial" w:cs="Arial"/>
          <w:sz w:val="20"/>
          <w:szCs w:val="20"/>
        </w:rPr>
        <w:t xml:space="preserve">insured vessel </w:t>
      </w:r>
      <w:r w:rsidRPr="009D6AE1">
        <w:rPr>
          <w:rFonts w:ascii="Arial" w:hAnsi="Arial" w:cs="Arial"/>
          <w:sz w:val="20"/>
          <w:szCs w:val="20"/>
        </w:rPr>
        <w:t>confirming that is the case</w:t>
      </w:r>
      <w:r>
        <w:rPr>
          <w:rFonts w:ascii="Arial" w:hAnsi="Arial" w:cs="Arial"/>
          <w:sz w:val="20"/>
          <w:szCs w:val="20"/>
        </w:rPr>
        <w:t xml:space="preserve">, which it does not have any </w:t>
      </w:r>
      <w:r w:rsidR="00A17236">
        <w:rPr>
          <w:rFonts w:ascii="Arial" w:hAnsi="Arial" w:cs="Arial"/>
          <w:sz w:val="20"/>
          <w:szCs w:val="20"/>
        </w:rPr>
        <w:t xml:space="preserve">reason to believe or any </w:t>
      </w:r>
      <w:r>
        <w:rPr>
          <w:rFonts w:ascii="Arial" w:hAnsi="Arial" w:cs="Arial"/>
          <w:sz w:val="20"/>
          <w:szCs w:val="20"/>
        </w:rPr>
        <w:t xml:space="preserve">reasonable cause to suspect </w:t>
      </w:r>
      <w:r w:rsidR="00A17236">
        <w:rPr>
          <w:rFonts w:ascii="Arial" w:hAnsi="Arial" w:cs="Arial"/>
          <w:sz w:val="20"/>
          <w:szCs w:val="20"/>
        </w:rPr>
        <w:t xml:space="preserve">to be erroneous or to have been </w:t>
      </w:r>
      <w:r>
        <w:rPr>
          <w:rFonts w:ascii="Arial" w:hAnsi="Arial" w:cs="Arial"/>
          <w:sz w:val="20"/>
          <w:szCs w:val="20"/>
        </w:rPr>
        <w:t>falsified</w:t>
      </w:r>
      <w:r w:rsidR="00A17236">
        <w:rPr>
          <w:rFonts w:ascii="Arial" w:hAnsi="Arial" w:cs="Arial"/>
          <w:sz w:val="20"/>
          <w:szCs w:val="20"/>
        </w:rPr>
        <w:t xml:space="preserve"> in any way whatsoever or</w:t>
      </w:r>
      <w:r>
        <w:rPr>
          <w:rFonts w:ascii="Arial" w:hAnsi="Arial" w:cs="Arial"/>
          <w:sz w:val="20"/>
          <w:szCs w:val="20"/>
        </w:rPr>
        <w:t xml:space="preserve"> provided by an illegitimate actor;</w:t>
      </w:r>
    </w:p>
    <w:p w14:paraId="39AA32BE" w14:textId="77777777" w:rsidR="00105738" w:rsidRDefault="00105738" w:rsidP="00105738">
      <w:pPr>
        <w:pStyle w:val="ListParagraph"/>
        <w:rPr>
          <w:rFonts w:ascii="Arial" w:hAnsi="Arial" w:cs="Arial"/>
          <w:sz w:val="20"/>
          <w:szCs w:val="20"/>
        </w:rPr>
      </w:pPr>
    </w:p>
    <w:p w14:paraId="516963B0" w14:textId="77777777" w:rsidR="00696ED3" w:rsidRDefault="00105738" w:rsidP="00911CEC">
      <w:pPr>
        <w:pStyle w:val="BodyTextIndentFirstLine"/>
        <w:numPr>
          <w:ilvl w:val="2"/>
          <w:numId w:val="22"/>
        </w:numPr>
        <w:spacing w:after="0"/>
        <w:jc w:val="both"/>
        <w:rPr>
          <w:rFonts w:ascii="Arial" w:hAnsi="Arial" w:cs="Arial"/>
          <w:sz w:val="20"/>
          <w:szCs w:val="20"/>
        </w:rPr>
      </w:pPr>
      <w:r w:rsidRPr="00105738">
        <w:rPr>
          <w:rFonts w:ascii="Arial" w:hAnsi="Arial" w:cs="Arial"/>
          <w:sz w:val="20"/>
          <w:szCs w:val="20"/>
        </w:rPr>
        <w:lastRenderedPageBreak/>
        <w:t xml:space="preserve">the </w:t>
      </w:r>
      <w:r>
        <w:rPr>
          <w:rFonts w:ascii="Arial" w:hAnsi="Arial" w:cs="Arial"/>
          <w:sz w:val="20"/>
          <w:szCs w:val="20"/>
        </w:rPr>
        <w:t>insured</w:t>
      </w:r>
      <w:r w:rsidRPr="00105738">
        <w:rPr>
          <w:rFonts w:ascii="Arial" w:hAnsi="Arial" w:cs="Arial"/>
          <w:sz w:val="20"/>
          <w:szCs w:val="20"/>
        </w:rPr>
        <w:t xml:space="preserve"> has retained such information regarding Ancillary Costs associated with the Qualifying Voyage </w:t>
      </w:r>
      <w:r w:rsidR="003B65EB">
        <w:rPr>
          <w:rFonts w:ascii="Arial" w:hAnsi="Arial" w:cs="Arial"/>
          <w:sz w:val="20"/>
          <w:szCs w:val="20"/>
        </w:rPr>
        <w:t>as</w:t>
      </w:r>
      <w:r w:rsidRPr="00105738">
        <w:rPr>
          <w:rFonts w:ascii="Arial" w:hAnsi="Arial" w:cs="Arial"/>
          <w:sz w:val="20"/>
          <w:szCs w:val="20"/>
        </w:rPr>
        <w:t xml:space="preserve"> it had immediate access</w:t>
      </w:r>
      <w:r w:rsidR="003B65EB">
        <w:rPr>
          <w:rFonts w:ascii="Arial" w:hAnsi="Arial" w:cs="Arial"/>
          <w:sz w:val="20"/>
          <w:szCs w:val="20"/>
        </w:rPr>
        <w:t xml:space="preserve"> to</w:t>
      </w:r>
      <w:r>
        <w:rPr>
          <w:rFonts w:ascii="Arial" w:hAnsi="Arial" w:cs="Arial"/>
          <w:sz w:val="20"/>
          <w:szCs w:val="20"/>
        </w:rPr>
        <w:t>;</w:t>
      </w:r>
      <w:r w:rsidR="00A17236">
        <w:rPr>
          <w:rFonts w:ascii="Arial" w:hAnsi="Arial" w:cs="Arial"/>
          <w:sz w:val="20"/>
          <w:szCs w:val="20"/>
        </w:rPr>
        <w:t xml:space="preserve"> </w:t>
      </w:r>
      <w:r w:rsidR="00DA115B">
        <w:rPr>
          <w:rFonts w:ascii="Arial" w:hAnsi="Arial" w:cs="Arial"/>
          <w:sz w:val="20"/>
          <w:szCs w:val="20"/>
        </w:rPr>
        <w:t>and</w:t>
      </w:r>
    </w:p>
    <w:p w14:paraId="53222769" w14:textId="77777777" w:rsidR="001D424C" w:rsidRDefault="001D424C" w:rsidP="001D424C">
      <w:pPr>
        <w:pStyle w:val="BodyTextIndentFirstLine"/>
        <w:spacing w:after="0"/>
        <w:ind w:firstLine="0"/>
        <w:jc w:val="both"/>
        <w:rPr>
          <w:rFonts w:ascii="Arial" w:hAnsi="Arial" w:cs="Arial"/>
          <w:sz w:val="20"/>
          <w:szCs w:val="20"/>
        </w:rPr>
      </w:pPr>
    </w:p>
    <w:p w14:paraId="604EC421" w14:textId="77777777" w:rsidR="009D6AE1" w:rsidRPr="00A17236" w:rsidRDefault="009D6AE1" w:rsidP="00A17236">
      <w:pPr>
        <w:pStyle w:val="BodyTextIndentFirstLine"/>
        <w:numPr>
          <w:ilvl w:val="2"/>
          <w:numId w:val="22"/>
        </w:numPr>
        <w:spacing w:after="0"/>
        <w:jc w:val="both"/>
        <w:rPr>
          <w:rFonts w:ascii="Arial" w:hAnsi="Arial" w:cs="Arial"/>
          <w:sz w:val="20"/>
          <w:szCs w:val="20"/>
        </w:rPr>
      </w:pPr>
      <w:r w:rsidRPr="00436E36">
        <w:rPr>
          <w:rFonts w:ascii="Arial" w:hAnsi="Arial" w:cs="Arial"/>
          <w:sz w:val="20"/>
          <w:szCs w:val="20"/>
        </w:rPr>
        <w:t>the insured has taken</w:t>
      </w:r>
      <w:r w:rsidR="00695806">
        <w:rPr>
          <w:rFonts w:ascii="Arial" w:hAnsi="Arial" w:cs="Arial"/>
          <w:sz w:val="20"/>
          <w:szCs w:val="20"/>
        </w:rPr>
        <w:t xml:space="preserve"> and will continue to take</w:t>
      </w:r>
      <w:r w:rsidRPr="00436E36">
        <w:rPr>
          <w:rFonts w:ascii="Arial" w:hAnsi="Arial" w:cs="Arial"/>
          <w:sz w:val="20"/>
          <w:szCs w:val="20"/>
        </w:rPr>
        <w:t xml:space="preserve"> all reasonable steps available to it to ensure compliance with the stipulation</w:t>
      </w:r>
      <w:r w:rsidR="00105738">
        <w:rPr>
          <w:rFonts w:ascii="Arial" w:hAnsi="Arial" w:cs="Arial"/>
          <w:sz w:val="20"/>
          <w:szCs w:val="20"/>
        </w:rPr>
        <w:t>s</w:t>
      </w:r>
      <w:r w:rsidRPr="00436E36">
        <w:rPr>
          <w:rFonts w:ascii="Arial" w:hAnsi="Arial" w:cs="Arial"/>
          <w:sz w:val="20"/>
          <w:szCs w:val="20"/>
        </w:rPr>
        <w:t xml:space="preserve"> in Clause 1(</w:t>
      </w:r>
      <w:r>
        <w:rPr>
          <w:rFonts w:ascii="Arial" w:hAnsi="Arial" w:cs="Arial"/>
          <w:sz w:val="20"/>
          <w:szCs w:val="20"/>
        </w:rPr>
        <w:t>b</w:t>
      </w:r>
      <w:r w:rsidRPr="00436E36">
        <w:rPr>
          <w:rFonts w:ascii="Arial" w:hAnsi="Arial" w:cs="Arial"/>
          <w:sz w:val="20"/>
          <w:szCs w:val="20"/>
        </w:rPr>
        <w:t>)(i</w:t>
      </w:r>
      <w:r w:rsidR="00105738">
        <w:rPr>
          <w:rFonts w:ascii="Arial" w:hAnsi="Arial" w:cs="Arial"/>
          <w:sz w:val="20"/>
          <w:szCs w:val="20"/>
        </w:rPr>
        <w:t>)-(i</w:t>
      </w:r>
      <w:r w:rsidR="00DA115B">
        <w:rPr>
          <w:rFonts w:ascii="Arial" w:hAnsi="Arial" w:cs="Arial"/>
          <w:sz w:val="20"/>
          <w:szCs w:val="20"/>
        </w:rPr>
        <w:t>ii</w:t>
      </w:r>
      <w:r w:rsidR="00105738">
        <w:rPr>
          <w:rFonts w:ascii="Arial" w:hAnsi="Arial" w:cs="Arial"/>
          <w:sz w:val="20"/>
          <w:szCs w:val="20"/>
        </w:rPr>
        <w:t>)</w:t>
      </w:r>
      <w:r w:rsidRPr="00436E36">
        <w:rPr>
          <w:rFonts w:ascii="Arial" w:hAnsi="Arial" w:cs="Arial"/>
          <w:sz w:val="20"/>
          <w:szCs w:val="20"/>
        </w:rPr>
        <w:t xml:space="preserve"> regardless of whether the insured itself is under a legal obligation to comply with the laws, regulations and rules concerning the maritime transportation and related services prohibition, and the Price Cap exception thereto, imposed by the Price Cap Coalition</w:t>
      </w:r>
      <w:r w:rsidR="001D424C">
        <w:rPr>
          <w:rFonts w:ascii="Arial" w:hAnsi="Arial" w:cs="Arial"/>
          <w:sz w:val="20"/>
          <w:szCs w:val="20"/>
        </w:rPr>
        <w:t>.</w:t>
      </w:r>
    </w:p>
    <w:p w14:paraId="48C70FC9" w14:textId="77777777" w:rsidR="001E141C" w:rsidRPr="00FA361C" w:rsidRDefault="001E141C" w:rsidP="00436E36">
      <w:pPr>
        <w:pStyle w:val="BodyTextIndentFirstLine"/>
        <w:spacing w:after="0"/>
        <w:ind w:firstLine="0"/>
        <w:jc w:val="both"/>
        <w:rPr>
          <w:rFonts w:ascii="Arial" w:hAnsi="Arial" w:cs="Arial"/>
          <w:sz w:val="20"/>
          <w:szCs w:val="20"/>
        </w:rPr>
      </w:pPr>
    </w:p>
    <w:p w14:paraId="17B57E25" w14:textId="1E34CAA8" w:rsidR="005B7745" w:rsidRDefault="00987907" w:rsidP="005B7745">
      <w:pPr>
        <w:pStyle w:val="BodyTextIndentFirstLine"/>
        <w:numPr>
          <w:ilvl w:val="0"/>
          <w:numId w:val="22"/>
        </w:numPr>
        <w:spacing w:after="0"/>
        <w:jc w:val="both"/>
        <w:rPr>
          <w:rFonts w:ascii="Arial" w:hAnsi="Arial" w:cs="Arial"/>
          <w:sz w:val="20"/>
          <w:szCs w:val="20"/>
        </w:rPr>
      </w:pPr>
      <w:r w:rsidRPr="00987907">
        <w:rPr>
          <w:rFonts w:ascii="Arial" w:hAnsi="Arial" w:cs="Arial"/>
          <w:sz w:val="20"/>
          <w:szCs w:val="20"/>
        </w:rPr>
        <w:t xml:space="preserve">In the event Underwriters make a request in writing (including but not limited to by email) to the insured or the insured's insurance brokers </w:t>
      </w:r>
      <w:r w:rsidR="00683E92">
        <w:rPr>
          <w:rFonts w:ascii="Arial" w:hAnsi="Arial" w:cs="Arial"/>
          <w:sz w:val="20"/>
          <w:szCs w:val="20"/>
        </w:rPr>
        <w:t>regarding the</w:t>
      </w:r>
      <w:r w:rsidRPr="00987907">
        <w:rPr>
          <w:rFonts w:ascii="Arial" w:hAnsi="Arial" w:cs="Arial"/>
          <w:sz w:val="20"/>
          <w:szCs w:val="20"/>
        </w:rPr>
        <w:t xml:space="preserve"> Ancillary Costs</w:t>
      </w:r>
      <w:r w:rsidR="00683E92">
        <w:rPr>
          <w:rFonts w:ascii="Arial" w:hAnsi="Arial" w:cs="Arial"/>
          <w:sz w:val="20"/>
          <w:szCs w:val="20"/>
        </w:rPr>
        <w:t xml:space="preserve"> information</w:t>
      </w:r>
      <w:r w:rsidRPr="00987907">
        <w:rPr>
          <w:rFonts w:ascii="Arial" w:hAnsi="Arial" w:cs="Arial"/>
          <w:sz w:val="20"/>
          <w:szCs w:val="20"/>
        </w:rPr>
        <w:t xml:space="preserve">, Underwriters shall not have any liability under the policy whatsoever and the policy shall automatically terminate, save in the circumstances specified in Clause </w:t>
      </w:r>
      <w:r w:rsidR="00181AFE">
        <w:rPr>
          <w:rFonts w:ascii="Arial" w:hAnsi="Arial" w:cs="Arial"/>
          <w:sz w:val="20"/>
          <w:szCs w:val="20"/>
        </w:rPr>
        <w:t>6</w:t>
      </w:r>
      <w:r w:rsidRPr="00987907">
        <w:rPr>
          <w:rFonts w:ascii="Arial" w:hAnsi="Arial" w:cs="Arial"/>
          <w:sz w:val="20"/>
          <w:szCs w:val="20"/>
        </w:rPr>
        <w:t xml:space="preserve">, unless the insured provides Underwriters within </w:t>
      </w:r>
      <w:r w:rsidR="00ED7BFB">
        <w:rPr>
          <w:rFonts w:ascii="Arial" w:hAnsi="Arial" w:cs="Arial"/>
          <w:sz w:val="20"/>
          <w:szCs w:val="20"/>
        </w:rPr>
        <w:t xml:space="preserve">30 </w:t>
      </w:r>
      <w:r w:rsidRPr="00987907">
        <w:rPr>
          <w:rFonts w:ascii="Arial" w:hAnsi="Arial" w:cs="Arial"/>
          <w:sz w:val="20"/>
          <w:szCs w:val="20"/>
        </w:rPr>
        <w:t>days of such request with the Ancillary Costs</w:t>
      </w:r>
      <w:r w:rsidR="00683E92">
        <w:rPr>
          <w:rFonts w:ascii="Arial" w:hAnsi="Arial" w:cs="Arial"/>
          <w:sz w:val="20"/>
          <w:szCs w:val="20"/>
        </w:rPr>
        <w:t xml:space="preserve"> information</w:t>
      </w:r>
      <w:r w:rsidRPr="00987907">
        <w:rPr>
          <w:rFonts w:ascii="Arial" w:hAnsi="Arial" w:cs="Arial"/>
          <w:sz w:val="20"/>
          <w:szCs w:val="20"/>
        </w:rPr>
        <w:t xml:space="preserve"> together with supporting documentation (which should, at a minimum, include the invoices</w:t>
      </w:r>
      <w:r w:rsidR="00683E92">
        <w:rPr>
          <w:rFonts w:ascii="Arial" w:hAnsi="Arial" w:cs="Arial"/>
          <w:sz w:val="20"/>
          <w:szCs w:val="20"/>
        </w:rPr>
        <w:t>, receipts</w:t>
      </w:r>
      <w:r w:rsidRPr="00987907">
        <w:rPr>
          <w:rFonts w:ascii="Arial" w:hAnsi="Arial" w:cs="Arial"/>
          <w:sz w:val="20"/>
          <w:szCs w:val="20"/>
        </w:rPr>
        <w:t xml:space="preserve"> and proofs of payment for such Ancillary Costs) or, if the insured refuses or fails to do so, documentary evidence, satisfactory to Underwriters, that the insured used best efforts to obtain and provide the Ancillary Costs</w:t>
      </w:r>
      <w:r w:rsidR="00683E92">
        <w:rPr>
          <w:rFonts w:ascii="Arial" w:hAnsi="Arial" w:cs="Arial"/>
          <w:sz w:val="20"/>
          <w:szCs w:val="20"/>
        </w:rPr>
        <w:t xml:space="preserve"> information</w:t>
      </w:r>
      <w:r w:rsidRPr="00987907">
        <w:rPr>
          <w:rFonts w:ascii="Arial" w:hAnsi="Arial" w:cs="Arial"/>
          <w:sz w:val="20"/>
          <w:szCs w:val="20"/>
        </w:rPr>
        <w:t xml:space="preserve"> and supporting documentation </w:t>
      </w:r>
      <w:r w:rsidR="00683E92">
        <w:rPr>
          <w:rFonts w:ascii="Arial" w:hAnsi="Arial" w:cs="Arial"/>
          <w:sz w:val="20"/>
          <w:szCs w:val="20"/>
        </w:rPr>
        <w:t>such</w:t>
      </w:r>
      <w:r w:rsidR="00683E92" w:rsidRPr="00987907">
        <w:rPr>
          <w:rFonts w:ascii="Arial" w:hAnsi="Arial" w:cs="Arial"/>
          <w:sz w:val="20"/>
          <w:szCs w:val="20"/>
        </w:rPr>
        <w:t xml:space="preserve"> </w:t>
      </w:r>
      <w:r w:rsidRPr="00987907">
        <w:rPr>
          <w:rFonts w:ascii="Arial" w:hAnsi="Arial" w:cs="Arial"/>
          <w:sz w:val="20"/>
          <w:szCs w:val="20"/>
        </w:rPr>
        <w:t xml:space="preserve">that the refusal or failure is a result of </w:t>
      </w:r>
      <w:r w:rsidR="008649B6">
        <w:rPr>
          <w:rFonts w:ascii="Arial" w:hAnsi="Arial" w:cs="Arial"/>
          <w:sz w:val="20"/>
          <w:szCs w:val="20"/>
        </w:rPr>
        <w:t>circumstances outside of its control</w:t>
      </w:r>
      <w:r w:rsidRPr="00987907">
        <w:rPr>
          <w:rFonts w:ascii="Arial" w:hAnsi="Arial" w:cs="Arial"/>
          <w:sz w:val="20"/>
          <w:szCs w:val="20"/>
        </w:rPr>
        <w:t>.</w:t>
      </w:r>
    </w:p>
    <w:p w14:paraId="28B5090A" w14:textId="77777777" w:rsidR="005B7745" w:rsidRDefault="005B7745" w:rsidP="005B7745">
      <w:pPr>
        <w:pStyle w:val="BodyTextIndentFirstLine"/>
        <w:spacing w:after="0"/>
        <w:ind w:left="720" w:firstLine="0"/>
        <w:jc w:val="both"/>
        <w:rPr>
          <w:rFonts w:ascii="Arial" w:hAnsi="Arial" w:cs="Arial"/>
          <w:sz w:val="20"/>
          <w:szCs w:val="20"/>
        </w:rPr>
      </w:pPr>
    </w:p>
    <w:p w14:paraId="442895EE" w14:textId="77777777" w:rsidR="000906A8" w:rsidRPr="005B7745" w:rsidRDefault="003F5E5C" w:rsidP="005B7745">
      <w:pPr>
        <w:pStyle w:val="BodyTextIndentFirstLine"/>
        <w:numPr>
          <w:ilvl w:val="0"/>
          <w:numId w:val="22"/>
        </w:numPr>
        <w:spacing w:after="0"/>
        <w:jc w:val="both"/>
        <w:rPr>
          <w:rFonts w:ascii="Arial" w:hAnsi="Arial" w:cs="Arial"/>
          <w:sz w:val="20"/>
          <w:szCs w:val="20"/>
        </w:rPr>
      </w:pPr>
      <w:r w:rsidRPr="005B7745">
        <w:rPr>
          <w:rFonts w:ascii="Arial" w:hAnsi="Arial" w:cs="Arial"/>
          <w:sz w:val="20"/>
          <w:szCs w:val="20"/>
        </w:rPr>
        <w:t>It is warranted that</w:t>
      </w:r>
      <w:r w:rsidR="002643DC" w:rsidRPr="005B7745">
        <w:rPr>
          <w:rFonts w:ascii="Arial" w:hAnsi="Arial" w:cs="Arial"/>
          <w:sz w:val="20"/>
          <w:szCs w:val="20"/>
        </w:rPr>
        <w:t xml:space="preserve"> (a)</w:t>
      </w:r>
      <w:r w:rsidRPr="005B7745">
        <w:rPr>
          <w:rFonts w:ascii="Arial" w:hAnsi="Arial" w:cs="Arial"/>
          <w:sz w:val="20"/>
          <w:szCs w:val="20"/>
        </w:rPr>
        <w:t xml:space="preserve"> the insured</w:t>
      </w:r>
      <w:r w:rsidR="0051091E">
        <w:rPr>
          <w:rFonts w:ascii="Arial" w:hAnsi="Arial" w:cs="Arial"/>
          <w:sz w:val="20"/>
          <w:szCs w:val="20"/>
        </w:rPr>
        <w:t xml:space="preserve"> and the insured</w:t>
      </w:r>
      <w:r w:rsidRPr="005B7745">
        <w:rPr>
          <w:rFonts w:ascii="Arial" w:hAnsi="Arial" w:cs="Arial"/>
          <w:sz w:val="20"/>
          <w:szCs w:val="20"/>
        </w:rPr>
        <w:t xml:space="preserve"> vessel(s) shall not at any time during the policy period and in any way whatsoever, whether directly or indirectly, be involved in a Prohibited Activity unless the price paid for the Russian Oil </w:t>
      </w:r>
      <w:r w:rsidR="00B24FF7" w:rsidRPr="005B7745">
        <w:rPr>
          <w:rFonts w:ascii="Arial" w:hAnsi="Arial" w:cs="Arial"/>
          <w:sz w:val="20"/>
          <w:szCs w:val="20"/>
        </w:rPr>
        <w:t xml:space="preserve">or the Russian Oil Product, as the case may be, </w:t>
      </w:r>
      <w:r w:rsidRPr="005B7745">
        <w:rPr>
          <w:rFonts w:ascii="Arial" w:hAnsi="Arial" w:cs="Arial"/>
          <w:sz w:val="20"/>
          <w:szCs w:val="20"/>
        </w:rPr>
        <w:t>at all material times complies with the</w:t>
      </w:r>
      <w:r w:rsidR="00B24FF7" w:rsidRPr="005B7745">
        <w:rPr>
          <w:rFonts w:ascii="Arial" w:hAnsi="Arial" w:cs="Arial"/>
          <w:sz w:val="20"/>
          <w:szCs w:val="20"/>
        </w:rPr>
        <w:t xml:space="preserve"> relevant</w:t>
      </w:r>
      <w:r w:rsidRPr="005B7745">
        <w:rPr>
          <w:rFonts w:ascii="Arial" w:hAnsi="Arial" w:cs="Arial"/>
          <w:sz w:val="20"/>
          <w:szCs w:val="20"/>
        </w:rPr>
        <w:t xml:space="preserve"> Price Cap</w:t>
      </w:r>
      <w:r w:rsidR="002643DC" w:rsidRPr="005B7745">
        <w:rPr>
          <w:rFonts w:ascii="Arial" w:hAnsi="Arial" w:cs="Arial"/>
          <w:sz w:val="20"/>
          <w:szCs w:val="20"/>
        </w:rPr>
        <w:t>, and (b) the insured shall not take any action</w:t>
      </w:r>
      <w:r w:rsidR="00683E92" w:rsidRPr="005B7745">
        <w:rPr>
          <w:rFonts w:ascii="Arial" w:hAnsi="Arial" w:cs="Arial"/>
          <w:sz w:val="20"/>
          <w:szCs w:val="20"/>
        </w:rPr>
        <w:t xml:space="preserve"> or knowingly participate in any activity</w:t>
      </w:r>
      <w:r w:rsidR="002643DC" w:rsidRPr="005B7745">
        <w:rPr>
          <w:rFonts w:ascii="Arial" w:hAnsi="Arial" w:cs="Arial"/>
          <w:sz w:val="20"/>
          <w:szCs w:val="20"/>
        </w:rPr>
        <w:t xml:space="preserve"> the effect or purpose of </w:t>
      </w:r>
      <w:r w:rsidR="004B4DE6" w:rsidRPr="005B7745">
        <w:rPr>
          <w:rFonts w:ascii="Arial" w:hAnsi="Arial" w:cs="Arial"/>
          <w:sz w:val="20"/>
          <w:szCs w:val="20"/>
        </w:rPr>
        <w:t xml:space="preserve">which is to </w:t>
      </w:r>
      <w:r w:rsidR="002643DC" w:rsidRPr="005B7745">
        <w:rPr>
          <w:rFonts w:ascii="Arial" w:hAnsi="Arial" w:cs="Arial"/>
          <w:sz w:val="20"/>
          <w:szCs w:val="20"/>
        </w:rPr>
        <w:t>evad</w:t>
      </w:r>
      <w:r w:rsidR="004B4DE6" w:rsidRPr="005B7745">
        <w:rPr>
          <w:rFonts w:ascii="Arial" w:hAnsi="Arial" w:cs="Arial"/>
          <w:sz w:val="20"/>
          <w:szCs w:val="20"/>
        </w:rPr>
        <w:t>e</w:t>
      </w:r>
      <w:r w:rsidR="002643DC" w:rsidRPr="005B7745">
        <w:rPr>
          <w:rFonts w:ascii="Arial" w:hAnsi="Arial" w:cs="Arial"/>
          <w:sz w:val="20"/>
          <w:szCs w:val="20"/>
        </w:rPr>
        <w:t xml:space="preserve">, </w:t>
      </w:r>
      <w:r w:rsidR="00B2766D" w:rsidRPr="005B7745">
        <w:rPr>
          <w:rFonts w:ascii="Arial" w:hAnsi="Arial" w:cs="Arial"/>
          <w:sz w:val="20"/>
          <w:szCs w:val="20"/>
        </w:rPr>
        <w:t xml:space="preserve">avoid, </w:t>
      </w:r>
      <w:r w:rsidR="002643DC" w:rsidRPr="005B7745">
        <w:rPr>
          <w:rFonts w:ascii="Arial" w:hAnsi="Arial" w:cs="Arial"/>
          <w:sz w:val="20"/>
          <w:szCs w:val="20"/>
        </w:rPr>
        <w:t>circumvent, attempt to violate</w:t>
      </w:r>
      <w:r w:rsidR="00A17591" w:rsidRPr="005B7745">
        <w:rPr>
          <w:rFonts w:ascii="Arial" w:hAnsi="Arial" w:cs="Arial"/>
          <w:sz w:val="20"/>
          <w:szCs w:val="20"/>
        </w:rPr>
        <w:t xml:space="preserve">, </w:t>
      </w:r>
      <w:r w:rsidR="00B2766D" w:rsidRPr="005B7745">
        <w:rPr>
          <w:rFonts w:ascii="Arial" w:hAnsi="Arial" w:cs="Arial"/>
          <w:sz w:val="20"/>
          <w:szCs w:val="20"/>
        </w:rPr>
        <w:t>caus</w:t>
      </w:r>
      <w:r w:rsidR="004B4DE6" w:rsidRPr="005B7745">
        <w:rPr>
          <w:rFonts w:ascii="Arial" w:hAnsi="Arial" w:cs="Arial"/>
          <w:sz w:val="20"/>
          <w:szCs w:val="20"/>
        </w:rPr>
        <w:t>e</w:t>
      </w:r>
      <w:r w:rsidR="00B2766D" w:rsidRPr="005B7745">
        <w:rPr>
          <w:rFonts w:ascii="Arial" w:hAnsi="Arial" w:cs="Arial"/>
          <w:sz w:val="20"/>
          <w:szCs w:val="20"/>
        </w:rPr>
        <w:t xml:space="preserve">, </w:t>
      </w:r>
      <w:r w:rsidR="00A17591" w:rsidRPr="005B7745">
        <w:rPr>
          <w:rFonts w:ascii="Arial" w:hAnsi="Arial" w:cs="Arial"/>
          <w:sz w:val="20"/>
          <w:szCs w:val="20"/>
        </w:rPr>
        <w:t>enabl</w:t>
      </w:r>
      <w:r w:rsidR="004B4DE6" w:rsidRPr="005B7745">
        <w:rPr>
          <w:rFonts w:ascii="Arial" w:hAnsi="Arial" w:cs="Arial"/>
          <w:sz w:val="20"/>
          <w:szCs w:val="20"/>
        </w:rPr>
        <w:t>e</w:t>
      </w:r>
      <w:r w:rsidR="00A17591" w:rsidRPr="005B7745">
        <w:rPr>
          <w:rFonts w:ascii="Arial" w:hAnsi="Arial" w:cs="Arial"/>
          <w:sz w:val="20"/>
          <w:szCs w:val="20"/>
        </w:rPr>
        <w:t xml:space="preserve"> or facilitat</w:t>
      </w:r>
      <w:r w:rsidR="004B4DE6" w:rsidRPr="005B7745">
        <w:rPr>
          <w:rFonts w:ascii="Arial" w:hAnsi="Arial" w:cs="Arial"/>
          <w:sz w:val="20"/>
          <w:szCs w:val="20"/>
        </w:rPr>
        <w:t>e</w:t>
      </w:r>
      <w:r w:rsidR="00A17591" w:rsidRPr="005B7745">
        <w:rPr>
          <w:rFonts w:ascii="Arial" w:hAnsi="Arial" w:cs="Arial"/>
          <w:sz w:val="20"/>
          <w:szCs w:val="20"/>
        </w:rPr>
        <w:t xml:space="preserve"> the contravention of</w:t>
      </w:r>
      <w:r w:rsidR="002643DC" w:rsidRPr="005B7745">
        <w:rPr>
          <w:rFonts w:ascii="Arial" w:hAnsi="Arial" w:cs="Arial"/>
          <w:sz w:val="20"/>
          <w:szCs w:val="20"/>
        </w:rPr>
        <w:t xml:space="preserve"> </w:t>
      </w:r>
      <w:r w:rsidR="00C76958" w:rsidRPr="005B7745">
        <w:rPr>
          <w:rFonts w:ascii="Arial" w:hAnsi="Arial" w:cs="Arial"/>
          <w:sz w:val="20"/>
          <w:szCs w:val="20"/>
        </w:rPr>
        <w:t>the maritime transportation and related services prohibition, and the Price Cap exception thereto, imposed by the Price Cap Coalition</w:t>
      </w:r>
      <w:r w:rsidR="002643DC" w:rsidRPr="005B7745">
        <w:rPr>
          <w:rFonts w:ascii="Arial" w:hAnsi="Arial" w:cs="Arial"/>
          <w:sz w:val="20"/>
          <w:szCs w:val="20"/>
        </w:rPr>
        <w:t xml:space="preserve">, including but not limited to through overinflation of </w:t>
      </w:r>
      <w:r w:rsidR="00C76958" w:rsidRPr="005B7745">
        <w:rPr>
          <w:rFonts w:ascii="Arial" w:hAnsi="Arial" w:cs="Arial"/>
          <w:sz w:val="20"/>
          <w:szCs w:val="20"/>
        </w:rPr>
        <w:t xml:space="preserve">any </w:t>
      </w:r>
      <w:r w:rsidR="002643DC" w:rsidRPr="005B7745">
        <w:rPr>
          <w:rFonts w:ascii="Arial" w:hAnsi="Arial" w:cs="Arial"/>
          <w:sz w:val="20"/>
          <w:szCs w:val="20"/>
        </w:rPr>
        <w:t>Ancillary Costs</w:t>
      </w:r>
      <w:r w:rsidRPr="005B7745">
        <w:rPr>
          <w:rFonts w:ascii="Arial" w:hAnsi="Arial" w:cs="Arial"/>
          <w:sz w:val="20"/>
          <w:szCs w:val="20"/>
        </w:rPr>
        <w:t xml:space="preserve">. </w:t>
      </w:r>
    </w:p>
    <w:p w14:paraId="640CA85F" w14:textId="77777777" w:rsidR="003F5E5C" w:rsidRPr="001C0B93" w:rsidRDefault="003F5E5C" w:rsidP="000906A8">
      <w:pPr>
        <w:pStyle w:val="BodyTextIndentFirstLine"/>
        <w:spacing w:after="0"/>
        <w:ind w:left="720" w:firstLine="0"/>
        <w:jc w:val="both"/>
        <w:rPr>
          <w:rFonts w:ascii="Arial" w:hAnsi="Arial" w:cs="Arial"/>
          <w:sz w:val="20"/>
          <w:szCs w:val="20"/>
        </w:rPr>
      </w:pPr>
    </w:p>
    <w:p w14:paraId="54A42757" w14:textId="77777777" w:rsidR="00D536ED" w:rsidRDefault="003F5E5C" w:rsidP="00D536ED">
      <w:pPr>
        <w:pStyle w:val="BodyTextIndentFirstLine"/>
        <w:numPr>
          <w:ilvl w:val="0"/>
          <w:numId w:val="22"/>
        </w:numPr>
        <w:spacing w:after="0"/>
        <w:jc w:val="both"/>
        <w:rPr>
          <w:rFonts w:ascii="Arial" w:hAnsi="Arial" w:cs="Arial"/>
          <w:sz w:val="20"/>
          <w:szCs w:val="20"/>
        </w:rPr>
      </w:pPr>
      <w:r w:rsidRPr="001C0B93">
        <w:rPr>
          <w:rFonts w:ascii="Arial" w:hAnsi="Arial" w:cs="Arial"/>
          <w:sz w:val="20"/>
          <w:szCs w:val="20"/>
        </w:rPr>
        <w:t>It is further warranted that if the insured becomes aware of or comes to have a cause to suspect that the insured vessel(s) may be or is being used or involved in the Prohibited Activity without the price paid for the Russian Oil</w:t>
      </w:r>
      <w:r w:rsidR="00B24FF7">
        <w:rPr>
          <w:rFonts w:ascii="Arial" w:hAnsi="Arial" w:cs="Arial"/>
          <w:sz w:val="20"/>
          <w:szCs w:val="20"/>
        </w:rPr>
        <w:t xml:space="preserve"> or the Russian Oil Product, as the case may be,</w:t>
      </w:r>
      <w:r w:rsidRPr="001C0B93">
        <w:rPr>
          <w:rFonts w:ascii="Arial" w:hAnsi="Arial" w:cs="Arial"/>
          <w:sz w:val="20"/>
          <w:szCs w:val="20"/>
        </w:rPr>
        <w:t xml:space="preserve"> at all material times being in compliance with the </w:t>
      </w:r>
      <w:r w:rsidR="00B24FF7">
        <w:rPr>
          <w:rFonts w:ascii="Arial" w:hAnsi="Arial" w:cs="Arial"/>
          <w:sz w:val="20"/>
          <w:szCs w:val="20"/>
        </w:rPr>
        <w:t xml:space="preserve">relevant </w:t>
      </w:r>
      <w:r w:rsidRPr="001C0B93">
        <w:rPr>
          <w:rFonts w:ascii="Arial" w:hAnsi="Arial" w:cs="Arial"/>
          <w:sz w:val="20"/>
          <w:szCs w:val="20"/>
        </w:rPr>
        <w:t>Price Cap, it shall immediately notify Underwriters of such circumstances.</w:t>
      </w:r>
    </w:p>
    <w:p w14:paraId="388624D9" w14:textId="77777777" w:rsidR="00D536ED" w:rsidRDefault="00D536ED" w:rsidP="00D536ED">
      <w:pPr>
        <w:pStyle w:val="ListParagraph"/>
        <w:rPr>
          <w:rFonts w:ascii="Arial" w:hAnsi="Arial" w:cs="Arial"/>
          <w:sz w:val="20"/>
          <w:szCs w:val="20"/>
        </w:rPr>
      </w:pPr>
    </w:p>
    <w:p w14:paraId="0D40766C" w14:textId="77777777" w:rsidR="00033B2E" w:rsidRPr="00D536ED" w:rsidRDefault="003F5E5C" w:rsidP="00D536ED">
      <w:pPr>
        <w:pStyle w:val="BodyTextIndentFirstLine"/>
        <w:numPr>
          <w:ilvl w:val="0"/>
          <w:numId w:val="22"/>
        </w:numPr>
        <w:spacing w:after="0"/>
        <w:jc w:val="both"/>
        <w:rPr>
          <w:rFonts w:ascii="Arial" w:hAnsi="Arial" w:cs="Arial"/>
          <w:sz w:val="20"/>
          <w:szCs w:val="20"/>
        </w:rPr>
      </w:pPr>
      <w:r w:rsidRPr="00D536ED">
        <w:rPr>
          <w:rFonts w:ascii="Arial" w:hAnsi="Arial" w:cs="Arial"/>
          <w:sz w:val="20"/>
          <w:szCs w:val="20"/>
        </w:rPr>
        <w:t xml:space="preserve">Any breach of the warranty in Clause </w:t>
      </w:r>
      <w:r w:rsidR="00181AFE">
        <w:rPr>
          <w:rFonts w:ascii="Arial" w:hAnsi="Arial" w:cs="Arial"/>
          <w:sz w:val="20"/>
          <w:szCs w:val="20"/>
        </w:rPr>
        <w:t>3</w:t>
      </w:r>
      <w:r w:rsidRPr="00D536ED">
        <w:rPr>
          <w:rFonts w:ascii="Arial" w:hAnsi="Arial" w:cs="Arial"/>
          <w:sz w:val="20"/>
          <w:szCs w:val="20"/>
        </w:rPr>
        <w:t xml:space="preserve"> or Clause </w:t>
      </w:r>
      <w:r w:rsidR="00181AFE">
        <w:rPr>
          <w:rFonts w:ascii="Arial" w:hAnsi="Arial" w:cs="Arial"/>
          <w:sz w:val="20"/>
          <w:szCs w:val="20"/>
        </w:rPr>
        <w:t>4</w:t>
      </w:r>
      <w:r w:rsidRPr="00D536ED">
        <w:rPr>
          <w:rFonts w:ascii="Arial" w:hAnsi="Arial" w:cs="Arial"/>
          <w:sz w:val="20"/>
          <w:szCs w:val="20"/>
        </w:rPr>
        <w:t xml:space="preserve"> is not capable of remedy and, </w:t>
      </w:r>
      <w:r w:rsidR="00396E9F">
        <w:rPr>
          <w:rFonts w:ascii="Arial" w:hAnsi="Arial" w:cs="Arial"/>
          <w:sz w:val="20"/>
          <w:szCs w:val="20"/>
        </w:rPr>
        <w:t xml:space="preserve">save in circumstances specified in Clause </w:t>
      </w:r>
      <w:r w:rsidR="00181AFE">
        <w:rPr>
          <w:rFonts w:ascii="Arial" w:hAnsi="Arial" w:cs="Arial"/>
          <w:sz w:val="20"/>
          <w:szCs w:val="20"/>
        </w:rPr>
        <w:t>6</w:t>
      </w:r>
      <w:r w:rsidRPr="00D536ED">
        <w:rPr>
          <w:rFonts w:ascii="Arial" w:hAnsi="Arial" w:cs="Arial"/>
          <w:sz w:val="20"/>
          <w:szCs w:val="20"/>
        </w:rPr>
        <w:t xml:space="preserve">, </w:t>
      </w:r>
      <w:r w:rsidR="00396E9F">
        <w:rPr>
          <w:rFonts w:ascii="Arial" w:hAnsi="Arial" w:cs="Arial"/>
          <w:sz w:val="20"/>
          <w:szCs w:val="20"/>
        </w:rPr>
        <w:t>the policy shall terminate automatically with immediate effect</w:t>
      </w:r>
      <w:r w:rsidR="004B4DE6">
        <w:rPr>
          <w:rFonts w:ascii="Arial" w:hAnsi="Arial" w:cs="Arial"/>
          <w:sz w:val="20"/>
          <w:szCs w:val="20"/>
        </w:rPr>
        <w:t>,</w:t>
      </w:r>
      <w:r w:rsidR="00396E9F">
        <w:rPr>
          <w:rFonts w:ascii="Arial" w:hAnsi="Arial" w:cs="Arial"/>
          <w:sz w:val="20"/>
          <w:szCs w:val="20"/>
        </w:rPr>
        <w:t xml:space="preserve"> and </w:t>
      </w:r>
      <w:r w:rsidRPr="00D536ED">
        <w:rPr>
          <w:rFonts w:ascii="Arial" w:hAnsi="Arial" w:cs="Arial"/>
          <w:sz w:val="20"/>
          <w:szCs w:val="20"/>
        </w:rPr>
        <w:t xml:space="preserve">Underwriters </w:t>
      </w:r>
      <w:r w:rsidR="00396E9F">
        <w:rPr>
          <w:rFonts w:ascii="Arial" w:hAnsi="Arial" w:cs="Arial"/>
          <w:sz w:val="20"/>
          <w:szCs w:val="20"/>
        </w:rPr>
        <w:t xml:space="preserve">shall </w:t>
      </w:r>
      <w:r w:rsidR="00987907">
        <w:rPr>
          <w:rFonts w:ascii="Arial" w:hAnsi="Arial" w:cs="Arial"/>
          <w:sz w:val="20"/>
          <w:szCs w:val="20"/>
        </w:rPr>
        <w:t>not have any</w:t>
      </w:r>
      <w:r w:rsidRPr="00D536ED">
        <w:rPr>
          <w:rFonts w:ascii="Arial" w:hAnsi="Arial" w:cs="Arial"/>
          <w:sz w:val="20"/>
          <w:szCs w:val="20"/>
        </w:rPr>
        <w:t xml:space="preserve"> liability whatsoever under the policy</w:t>
      </w:r>
      <w:r w:rsidR="004B4DE6">
        <w:rPr>
          <w:rFonts w:ascii="Arial" w:hAnsi="Arial" w:cs="Arial"/>
          <w:sz w:val="20"/>
          <w:szCs w:val="20"/>
        </w:rPr>
        <w:t>,</w:t>
      </w:r>
      <w:r w:rsidR="00F829CD" w:rsidRPr="00D536ED">
        <w:rPr>
          <w:rFonts w:ascii="Arial" w:hAnsi="Arial" w:cs="Arial"/>
          <w:sz w:val="20"/>
          <w:szCs w:val="20"/>
        </w:rPr>
        <w:t xml:space="preserve"> from the </w:t>
      </w:r>
      <w:r w:rsidR="00396E9F">
        <w:rPr>
          <w:rFonts w:ascii="Arial" w:hAnsi="Arial" w:cs="Arial"/>
          <w:sz w:val="20"/>
          <w:szCs w:val="20"/>
        </w:rPr>
        <w:t>time</w:t>
      </w:r>
      <w:r w:rsidR="00F829CD" w:rsidRPr="00D536ED">
        <w:rPr>
          <w:rFonts w:ascii="Arial" w:hAnsi="Arial" w:cs="Arial"/>
          <w:sz w:val="20"/>
          <w:szCs w:val="20"/>
        </w:rPr>
        <w:t xml:space="preserve"> of the breach.</w:t>
      </w:r>
    </w:p>
    <w:p w14:paraId="7D0BBBB0" w14:textId="77777777" w:rsidR="00033B2E" w:rsidRPr="00F829CD" w:rsidRDefault="00033B2E" w:rsidP="00033B2E">
      <w:pPr>
        <w:pStyle w:val="BodyTextIndentFirstLine"/>
        <w:spacing w:after="0"/>
        <w:ind w:left="720" w:firstLine="0"/>
        <w:jc w:val="both"/>
        <w:rPr>
          <w:rFonts w:ascii="Arial" w:hAnsi="Arial" w:cs="Arial"/>
          <w:sz w:val="20"/>
          <w:szCs w:val="20"/>
        </w:rPr>
      </w:pPr>
    </w:p>
    <w:p w14:paraId="462C4074" w14:textId="77777777" w:rsidR="00F829CD" w:rsidRDefault="00396E9F" w:rsidP="00F829CD">
      <w:pPr>
        <w:pStyle w:val="BodyTextIndentFirstLine"/>
        <w:numPr>
          <w:ilvl w:val="0"/>
          <w:numId w:val="22"/>
        </w:numPr>
        <w:spacing w:after="0"/>
        <w:jc w:val="both"/>
        <w:rPr>
          <w:rFonts w:ascii="Arial" w:hAnsi="Arial" w:cs="Arial"/>
          <w:sz w:val="20"/>
          <w:szCs w:val="20"/>
        </w:rPr>
      </w:pPr>
      <w:r>
        <w:rPr>
          <w:rFonts w:ascii="Arial" w:hAnsi="Arial" w:cs="Arial"/>
          <w:sz w:val="20"/>
          <w:szCs w:val="20"/>
        </w:rPr>
        <w:t xml:space="preserve">In the circumstances specified in Clause </w:t>
      </w:r>
      <w:r w:rsidR="00181AFE">
        <w:rPr>
          <w:rFonts w:ascii="Arial" w:hAnsi="Arial" w:cs="Arial"/>
          <w:sz w:val="20"/>
          <w:szCs w:val="20"/>
        </w:rPr>
        <w:t xml:space="preserve">2 </w:t>
      </w:r>
      <w:r>
        <w:rPr>
          <w:rFonts w:ascii="Arial" w:hAnsi="Arial" w:cs="Arial"/>
          <w:sz w:val="20"/>
          <w:szCs w:val="20"/>
        </w:rPr>
        <w:t xml:space="preserve">and Clause </w:t>
      </w:r>
      <w:r w:rsidR="00181AFE">
        <w:rPr>
          <w:rFonts w:ascii="Arial" w:hAnsi="Arial" w:cs="Arial"/>
          <w:sz w:val="20"/>
          <w:szCs w:val="20"/>
        </w:rPr>
        <w:t>5</w:t>
      </w:r>
      <w:r>
        <w:rPr>
          <w:rFonts w:ascii="Arial" w:hAnsi="Arial" w:cs="Arial"/>
          <w:sz w:val="20"/>
          <w:szCs w:val="20"/>
        </w:rPr>
        <w:t>, i</w:t>
      </w:r>
      <w:r w:rsidR="00033B2E" w:rsidRPr="00F829CD">
        <w:rPr>
          <w:rFonts w:ascii="Arial" w:hAnsi="Arial" w:cs="Arial"/>
          <w:sz w:val="20"/>
          <w:szCs w:val="20"/>
        </w:rPr>
        <w:t xml:space="preserve">f </w:t>
      </w:r>
      <w:r w:rsidR="00D21AC6">
        <w:rPr>
          <w:rFonts w:ascii="Arial" w:hAnsi="Arial" w:cs="Arial"/>
          <w:sz w:val="20"/>
          <w:szCs w:val="20"/>
        </w:rPr>
        <w:t>an</w:t>
      </w:r>
      <w:r w:rsidR="005E1051">
        <w:rPr>
          <w:rFonts w:ascii="Arial" w:hAnsi="Arial" w:cs="Arial"/>
          <w:sz w:val="20"/>
          <w:szCs w:val="20"/>
        </w:rPr>
        <w:t>y</w:t>
      </w:r>
      <w:r w:rsidR="00D21AC6">
        <w:rPr>
          <w:rFonts w:ascii="Arial" w:hAnsi="Arial" w:cs="Arial"/>
          <w:sz w:val="20"/>
          <w:szCs w:val="20"/>
        </w:rPr>
        <w:t xml:space="preserve"> </w:t>
      </w:r>
      <w:r w:rsidR="00D536ED">
        <w:rPr>
          <w:rFonts w:ascii="Arial" w:hAnsi="Arial" w:cs="Arial"/>
          <w:sz w:val="20"/>
          <w:szCs w:val="20"/>
        </w:rPr>
        <w:t>insured vessel is at sea</w:t>
      </w:r>
      <w:r>
        <w:rPr>
          <w:rFonts w:ascii="Arial" w:hAnsi="Arial" w:cs="Arial"/>
          <w:sz w:val="20"/>
          <w:szCs w:val="20"/>
        </w:rPr>
        <w:t xml:space="preserve">, </w:t>
      </w:r>
      <w:r w:rsidR="00444931">
        <w:rPr>
          <w:rFonts w:ascii="Arial" w:hAnsi="Arial" w:cs="Arial"/>
          <w:sz w:val="20"/>
          <w:szCs w:val="20"/>
        </w:rPr>
        <w:t>the termination of the policy shall not take effect</w:t>
      </w:r>
      <w:r w:rsidR="00D21AC6">
        <w:rPr>
          <w:rFonts w:ascii="Arial" w:hAnsi="Arial" w:cs="Arial"/>
          <w:sz w:val="20"/>
          <w:szCs w:val="20"/>
        </w:rPr>
        <w:t xml:space="preserve"> in respect of such vessel</w:t>
      </w:r>
      <w:r w:rsidR="00444931">
        <w:rPr>
          <w:rFonts w:ascii="Arial" w:hAnsi="Arial" w:cs="Arial"/>
          <w:sz w:val="20"/>
          <w:szCs w:val="20"/>
        </w:rPr>
        <w:t xml:space="preserve"> until</w:t>
      </w:r>
      <w:r w:rsidR="005E1051">
        <w:rPr>
          <w:rFonts w:ascii="Arial" w:hAnsi="Arial" w:cs="Arial"/>
          <w:sz w:val="20"/>
          <w:szCs w:val="20"/>
        </w:rPr>
        <w:t xml:space="preserve"> it</w:t>
      </w:r>
      <w:r w:rsidR="00C94178">
        <w:rPr>
          <w:rFonts w:ascii="Arial" w:hAnsi="Arial" w:cs="Arial"/>
          <w:sz w:val="20"/>
          <w:szCs w:val="20"/>
        </w:rPr>
        <w:t xml:space="preserve"> reaches a port provided that</w:t>
      </w:r>
      <w:r w:rsidR="003C12FD" w:rsidRPr="00F829CD">
        <w:rPr>
          <w:rFonts w:ascii="Arial" w:hAnsi="Arial" w:cs="Arial"/>
          <w:sz w:val="20"/>
          <w:szCs w:val="20"/>
        </w:rPr>
        <w:t>:</w:t>
      </w:r>
    </w:p>
    <w:p w14:paraId="2AB1832D" w14:textId="77777777" w:rsidR="00D536ED" w:rsidRPr="00F829CD" w:rsidRDefault="00D536ED" w:rsidP="00D536ED">
      <w:pPr>
        <w:pStyle w:val="BodyTextIndentFirstLine"/>
        <w:spacing w:after="0"/>
        <w:ind w:firstLine="0"/>
        <w:jc w:val="both"/>
        <w:rPr>
          <w:rFonts w:ascii="Arial" w:hAnsi="Arial" w:cs="Arial"/>
          <w:sz w:val="20"/>
          <w:szCs w:val="20"/>
        </w:rPr>
      </w:pPr>
    </w:p>
    <w:p w14:paraId="77021170" w14:textId="77777777" w:rsidR="00F829CD" w:rsidRDefault="00033B2E" w:rsidP="00F829CD">
      <w:pPr>
        <w:pStyle w:val="BodyTextIndentFirstLine"/>
        <w:numPr>
          <w:ilvl w:val="1"/>
          <w:numId w:val="22"/>
        </w:numPr>
        <w:spacing w:after="0"/>
        <w:jc w:val="both"/>
        <w:rPr>
          <w:rStyle w:val="ui-provider"/>
          <w:rFonts w:ascii="Arial" w:hAnsi="Arial" w:cs="Arial"/>
          <w:sz w:val="20"/>
          <w:szCs w:val="20"/>
        </w:rPr>
      </w:pPr>
      <w:r w:rsidRPr="00F829CD">
        <w:rPr>
          <w:rStyle w:val="ui-provider"/>
          <w:rFonts w:ascii="Arial" w:hAnsi="Arial" w:cs="Arial"/>
          <w:sz w:val="20"/>
          <w:szCs w:val="20"/>
        </w:rPr>
        <w:t xml:space="preserve">if closer to the port of origin, </w:t>
      </w:r>
      <w:r w:rsidR="003C12FD" w:rsidRPr="00F829CD">
        <w:rPr>
          <w:rStyle w:val="ui-provider"/>
          <w:rFonts w:ascii="Arial" w:hAnsi="Arial" w:cs="Arial"/>
          <w:sz w:val="20"/>
          <w:szCs w:val="20"/>
        </w:rPr>
        <w:t xml:space="preserve">the </w:t>
      </w:r>
      <w:r w:rsidR="00D536ED">
        <w:rPr>
          <w:rStyle w:val="ui-provider"/>
          <w:rFonts w:ascii="Arial" w:hAnsi="Arial" w:cs="Arial"/>
          <w:sz w:val="20"/>
          <w:szCs w:val="20"/>
        </w:rPr>
        <w:t xml:space="preserve">insured </w:t>
      </w:r>
      <w:r w:rsidR="003C12FD" w:rsidRPr="00F829CD">
        <w:rPr>
          <w:rStyle w:val="ui-provider"/>
          <w:rFonts w:ascii="Arial" w:hAnsi="Arial" w:cs="Arial"/>
          <w:sz w:val="20"/>
          <w:szCs w:val="20"/>
        </w:rPr>
        <w:t xml:space="preserve">vessel </w:t>
      </w:r>
      <w:r w:rsidR="005E1051">
        <w:rPr>
          <w:rStyle w:val="ui-provider"/>
          <w:rFonts w:ascii="Arial" w:hAnsi="Arial" w:cs="Arial"/>
          <w:sz w:val="20"/>
          <w:szCs w:val="20"/>
        </w:rPr>
        <w:t>proceeds</w:t>
      </w:r>
      <w:r w:rsidR="005E1051" w:rsidRPr="00F829CD">
        <w:rPr>
          <w:rStyle w:val="ui-provider"/>
          <w:rFonts w:ascii="Arial" w:hAnsi="Arial" w:cs="Arial"/>
          <w:sz w:val="20"/>
          <w:szCs w:val="20"/>
        </w:rPr>
        <w:t xml:space="preserve"> </w:t>
      </w:r>
      <w:r w:rsidRPr="00F829CD">
        <w:rPr>
          <w:rStyle w:val="ui-provider"/>
          <w:rFonts w:ascii="Arial" w:hAnsi="Arial" w:cs="Arial"/>
          <w:sz w:val="20"/>
          <w:szCs w:val="20"/>
        </w:rPr>
        <w:t>directly to the port of origin, provided</w:t>
      </w:r>
      <w:r w:rsidR="00D536ED">
        <w:rPr>
          <w:rStyle w:val="ui-provider"/>
          <w:rFonts w:ascii="Arial" w:hAnsi="Arial" w:cs="Arial"/>
          <w:sz w:val="20"/>
          <w:szCs w:val="20"/>
        </w:rPr>
        <w:t xml:space="preserve"> that</w:t>
      </w:r>
      <w:r w:rsidRPr="00F829CD">
        <w:rPr>
          <w:rStyle w:val="ui-provider"/>
          <w:rFonts w:ascii="Arial" w:hAnsi="Arial" w:cs="Arial"/>
          <w:sz w:val="20"/>
          <w:szCs w:val="20"/>
        </w:rPr>
        <w:t xml:space="preserve"> the port of origin is not a place in Russia</w:t>
      </w:r>
      <w:r w:rsidR="00C25FEB">
        <w:rPr>
          <w:rStyle w:val="ui-provider"/>
          <w:rFonts w:ascii="Arial" w:hAnsi="Arial" w:cs="Arial"/>
          <w:sz w:val="20"/>
          <w:szCs w:val="20"/>
        </w:rPr>
        <w:t xml:space="preserve"> or, if the</w:t>
      </w:r>
      <w:r w:rsidRPr="00F829CD">
        <w:rPr>
          <w:rStyle w:val="ui-provider"/>
          <w:rFonts w:ascii="Arial" w:hAnsi="Arial" w:cs="Arial"/>
          <w:sz w:val="20"/>
          <w:szCs w:val="20"/>
        </w:rPr>
        <w:t xml:space="preserve"> port of origin is a place in Russia, </w:t>
      </w:r>
      <w:r w:rsidR="00C25FEB">
        <w:rPr>
          <w:rStyle w:val="ui-provider"/>
          <w:rFonts w:ascii="Arial" w:hAnsi="Arial" w:cs="Arial"/>
          <w:sz w:val="20"/>
          <w:szCs w:val="20"/>
        </w:rPr>
        <w:t xml:space="preserve">it </w:t>
      </w:r>
      <w:r w:rsidR="005E1051">
        <w:rPr>
          <w:rStyle w:val="ui-provider"/>
          <w:rFonts w:ascii="Arial" w:hAnsi="Arial" w:cs="Arial"/>
          <w:sz w:val="20"/>
          <w:szCs w:val="20"/>
        </w:rPr>
        <w:t>proceeds directly to the</w:t>
      </w:r>
      <w:r w:rsidR="005E1051" w:rsidRPr="00F829CD">
        <w:rPr>
          <w:rStyle w:val="ui-provider"/>
          <w:rFonts w:ascii="Arial" w:hAnsi="Arial" w:cs="Arial"/>
          <w:sz w:val="20"/>
          <w:szCs w:val="20"/>
        </w:rPr>
        <w:t xml:space="preserve"> </w:t>
      </w:r>
      <w:r w:rsidRPr="00F829CD">
        <w:rPr>
          <w:rStyle w:val="ui-provider"/>
          <w:rFonts w:ascii="Arial" w:hAnsi="Arial" w:cs="Arial"/>
          <w:sz w:val="20"/>
          <w:szCs w:val="20"/>
        </w:rPr>
        <w:t xml:space="preserve">intended port of destination; or </w:t>
      </w:r>
    </w:p>
    <w:p w14:paraId="2563E974" w14:textId="77777777" w:rsidR="00D536ED" w:rsidRPr="00F829CD" w:rsidRDefault="00D536ED" w:rsidP="00D536ED">
      <w:pPr>
        <w:pStyle w:val="BodyTextIndentFirstLine"/>
        <w:spacing w:after="0"/>
        <w:ind w:left="1440" w:firstLine="0"/>
        <w:jc w:val="both"/>
        <w:rPr>
          <w:rStyle w:val="ui-provider"/>
          <w:rFonts w:ascii="Arial" w:hAnsi="Arial" w:cs="Arial"/>
          <w:sz w:val="20"/>
          <w:szCs w:val="20"/>
        </w:rPr>
      </w:pPr>
    </w:p>
    <w:p w14:paraId="04FFD30C" w14:textId="77777777" w:rsidR="00F829CD" w:rsidRDefault="00033B2E" w:rsidP="00F829CD">
      <w:pPr>
        <w:pStyle w:val="BodyTextIndentFirstLine"/>
        <w:numPr>
          <w:ilvl w:val="1"/>
          <w:numId w:val="22"/>
        </w:numPr>
        <w:spacing w:after="0"/>
        <w:jc w:val="both"/>
        <w:rPr>
          <w:rStyle w:val="ui-provider"/>
          <w:rFonts w:ascii="Arial" w:hAnsi="Arial" w:cs="Arial"/>
          <w:sz w:val="20"/>
          <w:szCs w:val="20"/>
        </w:rPr>
      </w:pPr>
      <w:r w:rsidRPr="00F829CD">
        <w:rPr>
          <w:rStyle w:val="ui-provider"/>
          <w:rFonts w:ascii="Arial" w:hAnsi="Arial" w:cs="Arial"/>
          <w:sz w:val="20"/>
          <w:szCs w:val="20"/>
        </w:rPr>
        <w:t xml:space="preserve">if closer to the intended port of destination, </w:t>
      </w:r>
      <w:r w:rsidR="003C12FD" w:rsidRPr="00F829CD">
        <w:rPr>
          <w:rStyle w:val="ui-provider"/>
          <w:rFonts w:ascii="Arial" w:hAnsi="Arial" w:cs="Arial"/>
          <w:sz w:val="20"/>
          <w:szCs w:val="20"/>
        </w:rPr>
        <w:t xml:space="preserve">the vessel </w:t>
      </w:r>
      <w:r w:rsidR="005E1051">
        <w:rPr>
          <w:rStyle w:val="ui-provider"/>
          <w:rFonts w:ascii="Arial" w:hAnsi="Arial" w:cs="Arial"/>
          <w:sz w:val="20"/>
          <w:szCs w:val="20"/>
        </w:rPr>
        <w:t>proceeds directly to</w:t>
      </w:r>
      <w:r w:rsidR="005E1051" w:rsidRPr="00F829CD">
        <w:rPr>
          <w:rStyle w:val="ui-provider"/>
          <w:rFonts w:ascii="Arial" w:hAnsi="Arial" w:cs="Arial"/>
          <w:sz w:val="20"/>
          <w:szCs w:val="20"/>
        </w:rPr>
        <w:t xml:space="preserve"> </w:t>
      </w:r>
      <w:r w:rsidRPr="00F829CD">
        <w:rPr>
          <w:rStyle w:val="ui-provider"/>
          <w:rFonts w:ascii="Arial" w:hAnsi="Arial" w:cs="Arial"/>
          <w:sz w:val="20"/>
          <w:szCs w:val="20"/>
        </w:rPr>
        <w:t xml:space="preserve">the intended port of destination; </w:t>
      </w:r>
      <w:r w:rsidR="003C12FD" w:rsidRPr="00F829CD">
        <w:rPr>
          <w:rStyle w:val="ui-provider"/>
          <w:rFonts w:ascii="Arial" w:hAnsi="Arial" w:cs="Arial"/>
          <w:sz w:val="20"/>
          <w:szCs w:val="20"/>
        </w:rPr>
        <w:t xml:space="preserve">or </w:t>
      </w:r>
    </w:p>
    <w:p w14:paraId="655026E8" w14:textId="77777777" w:rsidR="00D536ED" w:rsidRPr="00F829CD" w:rsidRDefault="00D536ED" w:rsidP="00D536ED">
      <w:pPr>
        <w:pStyle w:val="BodyTextIndentFirstLine"/>
        <w:spacing w:after="0"/>
        <w:ind w:firstLine="0"/>
        <w:jc w:val="both"/>
        <w:rPr>
          <w:rStyle w:val="ui-provider"/>
          <w:rFonts w:ascii="Arial" w:hAnsi="Arial" w:cs="Arial"/>
          <w:sz w:val="20"/>
          <w:szCs w:val="20"/>
        </w:rPr>
      </w:pPr>
    </w:p>
    <w:p w14:paraId="4EF19149" w14:textId="77777777" w:rsidR="003F5E5C" w:rsidRPr="00F829CD" w:rsidRDefault="00033B2E" w:rsidP="00F829CD">
      <w:pPr>
        <w:pStyle w:val="BodyTextIndentFirstLine"/>
        <w:numPr>
          <w:ilvl w:val="1"/>
          <w:numId w:val="22"/>
        </w:numPr>
        <w:spacing w:after="0"/>
        <w:jc w:val="both"/>
        <w:rPr>
          <w:rFonts w:ascii="Arial" w:hAnsi="Arial" w:cs="Arial"/>
          <w:sz w:val="20"/>
          <w:szCs w:val="20"/>
        </w:rPr>
      </w:pPr>
      <w:r w:rsidRPr="00F829CD">
        <w:rPr>
          <w:rStyle w:val="ui-provider"/>
          <w:rFonts w:ascii="Arial" w:hAnsi="Arial" w:cs="Arial"/>
          <w:sz w:val="20"/>
          <w:szCs w:val="20"/>
        </w:rPr>
        <w:t xml:space="preserve">if the vessel is dealing with an Emergency, it </w:t>
      </w:r>
      <w:r w:rsidR="005E1051">
        <w:rPr>
          <w:rStyle w:val="ui-provider"/>
          <w:rFonts w:ascii="Arial" w:hAnsi="Arial" w:cs="Arial"/>
          <w:sz w:val="20"/>
          <w:szCs w:val="20"/>
        </w:rPr>
        <w:t>proceeds directly to</w:t>
      </w:r>
      <w:r w:rsidR="005E1051" w:rsidRPr="00F829CD">
        <w:rPr>
          <w:rStyle w:val="ui-provider"/>
          <w:rFonts w:ascii="Arial" w:hAnsi="Arial" w:cs="Arial"/>
          <w:sz w:val="20"/>
          <w:szCs w:val="20"/>
        </w:rPr>
        <w:t xml:space="preserve"> </w:t>
      </w:r>
      <w:r w:rsidRPr="00F829CD">
        <w:rPr>
          <w:rStyle w:val="ui-provider"/>
          <w:rFonts w:ascii="Arial" w:hAnsi="Arial" w:cs="Arial"/>
          <w:sz w:val="20"/>
          <w:szCs w:val="20"/>
        </w:rPr>
        <w:t xml:space="preserve">the nearest </w:t>
      </w:r>
      <w:r w:rsidR="00897A05" w:rsidRPr="00F829CD">
        <w:rPr>
          <w:rStyle w:val="ui-provider"/>
          <w:rFonts w:ascii="Arial" w:hAnsi="Arial" w:cs="Arial"/>
          <w:sz w:val="20"/>
          <w:szCs w:val="20"/>
        </w:rPr>
        <w:t xml:space="preserve">safe </w:t>
      </w:r>
      <w:r w:rsidRPr="00F829CD">
        <w:rPr>
          <w:rStyle w:val="ui-provider"/>
          <w:rFonts w:ascii="Arial" w:hAnsi="Arial" w:cs="Arial"/>
          <w:sz w:val="20"/>
          <w:szCs w:val="20"/>
        </w:rPr>
        <w:t>port outside</w:t>
      </w:r>
      <w:r w:rsidR="00354886">
        <w:rPr>
          <w:rStyle w:val="ui-provider"/>
          <w:rFonts w:ascii="Arial" w:hAnsi="Arial" w:cs="Arial"/>
          <w:sz w:val="20"/>
          <w:szCs w:val="20"/>
        </w:rPr>
        <w:t xml:space="preserve"> of</w:t>
      </w:r>
      <w:r w:rsidRPr="00F829CD">
        <w:rPr>
          <w:rStyle w:val="ui-provider"/>
          <w:rFonts w:ascii="Arial" w:hAnsi="Arial" w:cs="Arial"/>
          <w:sz w:val="20"/>
          <w:szCs w:val="20"/>
        </w:rPr>
        <w:t xml:space="preserve"> Russia</w:t>
      </w:r>
      <w:r w:rsidR="00D536ED">
        <w:rPr>
          <w:rStyle w:val="ui-provider"/>
          <w:rFonts w:ascii="Arial" w:hAnsi="Arial" w:cs="Arial"/>
          <w:sz w:val="20"/>
          <w:szCs w:val="20"/>
        </w:rPr>
        <w:t>'s</w:t>
      </w:r>
      <w:r w:rsidRPr="00F829CD">
        <w:rPr>
          <w:rStyle w:val="ui-provider"/>
          <w:rFonts w:ascii="Arial" w:hAnsi="Arial" w:cs="Arial"/>
          <w:sz w:val="20"/>
          <w:szCs w:val="20"/>
        </w:rPr>
        <w:t xml:space="preserve"> jurisdiction. </w:t>
      </w:r>
    </w:p>
    <w:p w14:paraId="245F72CA" w14:textId="77777777" w:rsidR="000906A8" w:rsidRPr="00F829CD" w:rsidRDefault="000906A8" w:rsidP="00F829CD">
      <w:pPr>
        <w:pStyle w:val="ListParagraph"/>
        <w:ind w:left="0"/>
        <w:rPr>
          <w:rFonts w:ascii="Arial" w:hAnsi="Arial" w:cs="Arial"/>
          <w:sz w:val="20"/>
          <w:szCs w:val="20"/>
        </w:rPr>
      </w:pPr>
    </w:p>
    <w:p w14:paraId="7CC37DFB" w14:textId="77777777" w:rsidR="00396E9F" w:rsidRPr="00232948" w:rsidRDefault="00396E9F" w:rsidP="000906A8">
      <w:pPr>
        <w:pStyle w:val="BodyTextIndentFirstLine"/>
        <w:numPr>
          <w:ilvl w:val="0"/>
          <w:numId w:val="22"/>
        </w:numPr>
        <w:spacing w:after="0"/>
        <w:jc w:val="both"/>
        <w:rPr>
          <w:rFonts w:ascii="Arial" w:hAnsi="Arial" w:cs="Arial"/>
          <w:sz w:val="20"/>
          <w:szCs w:val="20"/>
        </w:rPr>
      </w:pPr>
      <w:r w:rsidRPr="00232948">
        <w:rPr>
          <w:rFonts w:ascii="Arial" w:hAnsi="Arial" w:cs="Arial"/>
          <w:sz w:val="20"/>
          <w:szCs w:val="20"/>
        </w:rPr>
        <w:t xml:space="preserve">In the </w:t>
      </w:r>
      <w:r w:rsidR="00CB0DDA">
        <w:rPr>
          <w:rFonts w:ascii="Arial" w:hAnsi="Arial" w:cs="Arial"/>
          <w:sz w:val="20"/>
          <w:szCs w:val="20"/>
        </w:rPr>
        <w:t xml:space="preserve">event the policy is terminated in accordance with </w:t>
      </w:r>
      <w:r w:rsidRPr="00232948">
        <w:rPr>
          <w:rFonts w:ascii="Arial" w:hAnsi="Arial" w:cs="Arial"/>
          <w:sz w:val="20"/>
          <w:szCs w:val="20"/>
        </w:rPr>
        <w:t xml:space="preserve">Clause </w:t>
      </w:r>
      <w:r w:rsidR="00181AFE">
        <w:rPr>
          <w:rFonts w:ascii="Arial" w:hAnsi="Arial" w:cs="Arial"/>
          <w:sz w:val="20"/>
          <w:szCs w:val="20"/>
        </w:rPr>
        <w:t>2</w:t>
      </w:r>
      <w:r w:rsidR="00CB0DDA">
        <w:rPr>
          <w:rFonts w:ascii="Arial" w:hAnsi="Arial" w:cs="Arial"/>
          <w:sz w:val="20"/>
          <w:szCs w:val="20"/>
        </w:rPr>
        <w:t xml:space="preserve"> or Clause</w:t>
      </w:r>
      <w:r w:rsidR="005229BD" w:rsidRPr="00232948">
        <w:rPr>
          <w:rFonts w:ascii="Arial" w:hAnsi="Arial" w:cs="Arial"/>
          <w:sz w:val="20"/>
          <w:szCs w:val="20"/>
        </w:rPr>
        <w:t xml:space="preserve"> </w:t>
      </w:r>
      <w:r w:rsidR="00181AFE">
        <w:rPr>
          <w:rFonts w:ascii="Arial" w:hAnsi="Arial" w:cs="Arial"/>
          <w:sz w:val="20"/>
          <w:szCs w:val="20"/>
        </w:rPr>
        <w:t>5</w:t>
      </w:r>
      <w:r w:rsidR="005229BD" w:rsidRPr="00232948">
        <w:rPr>
          <w:rFonts w:ascii="Arial" w:hAnsi="Arial" w:cs="Arial"/>
          <w:sz w:val="20"/>
          <w:szCs w:val="20"/>
        </w:rPr>
        <w:t xml:space="preserve">, </w:t>
      </w:r>
      <w:r w:rsidRPr="00232948">
        <w:rPr>
          <w:rFonts w:ascii="Arial" w:hAnsi="Arial" w:cs="Arial"/>
          <w:sz w:val="20"/>
          <w:szCs w:val="20"/>
        </w:rPr>
        <w:t>Underwriters shall not</w:t>
      </w:r>
      <w:r w:rsidR="005229BD" w:rsidRPr="00232948">
        <w:rPr>
          <w:rFonts w:ascii="Arial" w:hAnsi="Arial" w:cs="Arial"/>
          <w:sz w:val="20"/>
          <w:szCs w:val="20"/>
        </w:rPr>
        <w:t xml:space="preserve"> </w:t>
      </w:r>
      <w:r w:rsidRPr="00232948">
        <w:rPr>
          <w:rFonts w:ascii="Arial" w:hAnsi="Arial" w:cs="Arial"/>
          <w:sz w:val="20"/>
          <w:szCs w:val="20"/>
        </w:rPr>
        <w:t>be liable to return to the insured any unearned premium.</w:t>
      </w:r>
    </w:p>
    <w:p w14:paraId="72C4F4C6" w14:textId="77777777" w:rsidR="00396E9F" w:rsidRDefault="00396E9F" w:rsidP="00396E9F">
      <w:pPr>
        <w:pStyle w:val="BodyTextIndentFirstLine"/>
        <w:spacing w:after="0"/>
        <w:ind w:left="720" w:firstLine="0"/>
        <w:jc w:val="both"/>
        <w:rPr>
          <w:rFonts w:ascii="Arial" w:hAnsi="Arial" w:cs="Arial"/>
          <w:sz w:val="20"/>
          <w:szCs w:val="20"/>
        </w:rPr>
      </w:pPr>
    </w:p>
    <w:p w14:paraId="08EF5408" w14:textId="77777777" w:rsidR="003F5E5C" w:rsidRPr="001C0B93" w:rsidRDefault="003F5E5C" w:rsidP="000906A8">
      <w:pPr>
        <w:pStyle w:val="BodyTextIndentFirstLine"/>
        <w:numPr>
          <w:ilvl w:val="0"/>
          <w:numId w:val="22"/>
        </w:numPr>
        <w:spacing w:after="0"/>
        <w:jc w:val="both"/>
        <w:rPr>
          <w:rFonts w:ascii="Arial" w:hAnsi="Arial" w:cs="Arial"/>
          <w:sz w:val="20"/>
          <w:szCs w:val="20"/>
        </w:rPr>
      </w:pPr>
      <w:r w:rsidRPr="00F829CD">
        <w:rPr>
          <w:rFonts w:ascii="Arial" w:hAnsi="Arial" w:cs="Arial"/>
          <w:sz w:val="20"/>
          <w:szCs w:val="20"/>
        </w:rPr>
        <w:t>Insofar as the provision of cover available under the policy is any way inconsistent with or would put Underwriters in breach</w:t>
      </w:r>
      <w:r w:rsidRPr="001C0B93">
        <w:rPr>
          <w:rFonts w:ascii="Arial" w:hAnsi="Arial" w:cs="Arial"/>
          <w:sz w:val="20"/>
          <w:szCs w:val="20"/>
        </w:rPr>
        <w:t xml:space="preserve"> of the terms of any applicable General Licence(s),</w:t>
      </w:r>
      <w:r w:rsidR="00D536ED">
        <w:rPr>
          <w:rFonts w:ascii="Arial" w:hAnsi="Arial" w:cs="Arial"/>
          <w:sz w:val="20"/>
          <w:szCs w:val="20"/>
        </w:rPr>
        <w:t xml:space="preserve"> as may be amended from time to time,</w:t>
      </w:r>
      <w:r w:rsidRPr="001C0B93">
        <w:rPr>
          <w:rFonts w:ascii="Arial" w:hAnsi="Arial" w:cs="Arial"/>
          <w:sz w:val="20"/>
          <w:szCs w:val="20"/>
        </w:rPr>
        <w:t xml:space="preserve"> Underwriters shall </w:t>
      </w:r>
      <w:r w:rsidR="00AF6FA3">
        <w:rPr>
          <w:rFonts w:ascii="Arial" w:hAnsi="Arial" w:cs="Arial"/>
          <w:sz w:val="20"/>
          <w:szCs w:val="20"/>
        </w:rPr>
        <w:t>not have any</w:t>
      </w:r>
      <w:r w:rsidRPr="001C0B93">
        <w:rPr>
          <w:rFonts w:ascii="Arial" w:hAnsi="Arial" w:cs="Arial"/>
          <w:sz w:val="20"/>
          <w:szCs w:val="20"/>
        </w:rPr>
        <w:t xml:space="preserve"> liability under the policy beyond what is permitted by the terms of such General Licence(s).</w:t>
      </w:r>
    </w:p>
    <w:p w14:paraId="6077735F" w14:textId="77777777" w:rsidR="001C0B93" w:rsidRPr="001C0B93" w:rsidRDefault="001C0B93" w:rsidP="001C0B93">
      <w:pPr>
        <w:pStyle w:val="ListParagraph"/>
        <w:rPr>
          <w:rFonts w:ascii="Arial" w:hAnsi="Arial" w:cs="Arial"/>
          <w:sz w:val="20"/>
          <w:szCs w:val="20"/>
        </w:rPr>
      </w:pPr>
    </w:p>
    <w:p w14:paraId="6191F3C1" w14:textId="77777777" w:rsidR="003F5E5C" w:rsidRPr="001C0B93" w:rsidRDefault="003F5E5C" w:rsidP="000906A8">
      <w:pPr>
        <w:pStyle w:val="BodyTextIndentFirstLine"/>
        <w:numPr>
          <w:ilvl w:val="0"/>
          <w:numId w:val="22"/>
        </w:numPr>
        <w:spacing w:after="0"/>
        <w:jc w:val="both"/>
        <w:rPr>
          <w:rFonts w:ascii="Arial" w:hAnsi="Arial" w:cs="Arial"/>
          <w:sz w:val="20"/>
          <w:szCs w:val="20"/>
        </w:rPr>
      </w:pPr>
      <w:r w:rsidRPr="001C0B93">
        <w:rPr>
          <w:rFonts w:ascii="Arial" w:hAnsi="Arial" w:cs="Arial"/>
          <w:sz w:val="20"/>
          <w:szCs w:val="20"/>
        </w:rPr>
        <w:t xml:space="preserve">Coverage is subject to all other terms of the policy, in particular the sanctions clause contained therein. </w:t>
      </w:r>
    </w:p>
    <w:p w14:paraId="374110B3" w14:textId="77777777" w:rsidR="001C0B93" w:rsidRPr="001C0B93" w:rsidRDefault="001C0B93" w:rsidP="001C0B93">
      <w:pPr>
        <w:pStyle w:val="ListParagraph"/>
        <w:rPr>
          <w:rFonts w:ascii="Arial" w:hAnsi="Arial" w:cs="Arial"/>
          <w:sz w:val="20"/>
          <w:szCs w:val="20"/>
        </w:rPr>
      </w:pPr>
    </w:p>
    <w:p w14:paraId="562A77D8" w14:textId="77777777" w:rsidR="003F5E5C" w:rsidRPr="001C0B93" w:rsidRDefault="003F5E5C" w:rsidP="000906A8">
      <w:pPr>
        <w:pStyle w:val="BodyTextIndentFirstLine"/>
        <w:numPr>
          <w:ilvl w:val="0"/>
          <w:numId w:val="22"/>
        </w:numPr>
        <w:spacing w:after="0"/>
        <w:jc w:val="both"/>
        <w:rPr>
          <w:rFonts w:ascii="Arial" w:hAnsi="Arial" w:cs="Arial"/>
          <w:sz w:val="20"/>
          <w:szCs w:val="20"/>
        </w:rPr>
      </w:pPr>
      <w:r w:rsidRPr="001C0B93">
        <w:rPr>
          <w:rFonts w:ascii="Arial" w:hAnsi="Arial" w:cs="Arial"/>
          <w:sz w:val="20"/>
          <w:szCs w:val="20"/>
        </w:rPr>
        <w:t>Definitions:</w:t>
      </w:r>
    </w:p>
    <w:p w14:paraId="36448AFC" w14:textId="77777777" w:rsidR="00B3796C" w:rsidRDefault="00B3796C" w:rsidP="000906A8">
      <w:pPr>
        <w:pStyle w:val="BodyTextIndentFirstLine"/>
        <w:spacing w:after="0"/>
        <w:ind w:firstLine="0"/>
        <w:jc w:val="both"/>
        <w:rPr>
          <w:rFonts w:ascii="Arial" w:hAnsi="Arial" w:cs="Arial"/>
          <w:b/>
          <w:bCs/>
          <w:i/>
          <w:iCs/>
          <w:sz w:val="20"/>
          <w:szCs w:val="20"/>
        </w:rPr>
      </w:pPr>
    </w:p>
    <w:p w14:paraId="7E94C680" w14:textId="77777777" w:rsidR="00CB271C" w:rsidRDefault="00CB271C" w:rsidP="00C82352">
      <w:pPr>
        <w:pStyle w:val="BodyTextIndentFirstLine"/>
        <w:spacing w:after="0"/>
        <w:ind w:firstLine="0"/>
        <w:contextualSpacing/>
        <w:jc w:val="both"/>
        <w:rPr>
          <w:rFonts w:ascii="Arial" w:hAnsi="Arial" w:cs="Arial"/>
          <w:b/>
          <w:bCs/>
          <w:i/>
          <w:iCs/>
          <w:sz w:val="20"/>
          <w:szCs w:val="20"/>
        </w:rPr>
      </w:pPr>
    </w:p>
    <w:p w14:paraId="2C901E5A" w14:textId="77777777" w:rsidR="00C82352" w:rsidRDefault="00C82352" w:rsidP="00C82352">
      <w:pPr>
        <w:pStyle w:val="BodyTextIndentFirstLine"/>
        <w:spacing w:after="0"/>
        <w:ind w:firstLine="0"/>
        <w:contextualSpacing/>
        <w:jc w:val="both"/>
        <w:rPr>
          <w:rFonts w:ascii="Arial" w:hAnsi="Arial" w:cs="Arial"/>
          <w:sz w:val="20"/>
          <w:szCs w:val="20"/>
        </w:rPr>
      </w:pPr>
      <w:r>
        <w:rPr>
          <w:rFonts w:ascii="Arial" w:hAnsi="Arial" w:cs="Arial"/>
          <w:b/>
          <w:bCs/>
          <w:i/>
          <w:iCs/>
          <w:sz w:val="20"/>
          <w:szCs w:val="20"/>
        </w:rPr>
        <w:t xml:space="preserve">Ancillary Costs </w:t>
      </w:r>
      <w:r>
        <w:rPr>
          <w:rFonts w:ascii="Arial" w:hAnsi="Arial" w:cs="Arial"/>
          <w:sz w:val="20"/>
          <w:szCs w:val="20"/>
        </w:rPr>
        <w:t>means an itemised breakdown of the costs, fees, charges and expenses ancillary to the purchase or sale price of the Russian Oil or the Russian Oil Product which arise in the context of a transaction relating to a Prohibited Activity involving the insured and/or an insured vessel. The Ancillary Costs shall, at a minimum, comprise those negotiated at the start of the transaction which shall include but not be limited to, as may be applicable depending on the nature of the transaction:</w:t>
      </w:r>
    </w:p>
    <w:p w14:paraId="2FE9344B" w14:textId="77777777" w:rsidR="00C82352" w:rsidRDefault="00C82352" w:rsidP="00C82352">
      <w:pPr>
        <w:pStyle w:val="BodyTextIndentFirstLine"/>
        <w:spacing w:after="0"/>
        <w:ind w:firstLine="0"/>
        <w:contextualSpacing/>
        <w:jc w:val="both"/>
        <w:rPr>
          <w:rFonts w:ascii="Arial" w:hAnsi="Arial" w:cs="Arial"/>
          <w:sz w:val="20"/>
          <w:szCs w:val="20"/>
        </w:rPr>
      </w:pPr>
    </w:p>
    <w:p w14:paraId="2087F3AB" w14:textId="77777777" w:rsidR="00C82352" w:rsidRDefault="00C82352" w:rsidP="00C82352">
      <w:pPr>
        <w:pStyle w:val="BodyTextIndentFirstLine"/>
        <w:numPr>
          <w:ilvl w:val="0"/>
          <w:numId w:val="24"/>
        </w:numPr>
        <w:spacing w:after="0"/>
        <w:contextualSpacing/>
        <w:jc w:val="both"/>
        <w:rPr>
          <w:rFonts w:ascii="Arial" w:hAnsi="Arial" w:cs="Arial"/>
          <w:sz w:val="20"/>
          <w:szCs w:val="20"/>
        </w:rPr>
      </w:pPr>
      <w:r>
        <w:rPr>
          <w:rFonts w:ascii="Arial" w:hAnsi="Arial" w:cs="Arial"/>
          <w:sz w:val="20"/>
          <w:szCs w:val="20"/>
        </w:rPr>
        <w:t xml:space="preserve">costs of </w:t>
      </w:r>
      <w:r w:rsidRPr="005D050C">
        <w:rPr>
          <w:rFonts w:ascii="Arial" w:hAnsi="Arial" w:cs="Arial"/>
          <w:sz w:val="20"/>
          <w:szCs w:val="20"/>
        </w:rPr>
        <w:t>export</w:t>
      </w:r>
      <w:r>
        <w:rPr>
          <w:rFonts w:ascii="Arial" w:hAnsi="Arial" w:cs="Arial"/>
          <w:sz w:val="20"/>
          <w:szCs w:val="20"/>
        </w:rPr>
        <w:t xml:space="preserve"> and import</w:t>
      </w:r>
      <w:r w:rsidRPr="005D050C">
        <w:rPr>
          <w:rFonts w:ascii="Arial" w:hAnsi="Arial" w:cs="Arial"/>
          <w:sz w:val="20"/>
          <w:szCs w:val="20"/>
        </w:rPr>
        <w:t xml:space="preserve"> licences</w:t>
      </w:r>
      <w:r>
        <w:rPr>
          <w:rFonts w:ascii="Arial" w:hAnsi="Arial" w:cs="Arial"/>
          <w:sz w:val="20"/>
          <w:szCs w:val="20"/>
        </w:rPr>
        <w:t xml:space="preserve"> and </w:t>
      </w:r>
      <w:r w:rsidRPr="005D050C">
        <w:rPr>
          <w:rFonts w:ascii="Arial" w:hAnsi="Arial" w:cs="Arial"/>
          <w:sz w:val="20"/>
          <w:szCs w:val="20"/>
        </w:rPr>
        <w:t>customs clearance</w:t>
      </w:r>
      <w:r>
        <w:rPr>
          <w:rFonts w:ascii="Arial" w:hAnsi="Arial" w:cs="Arial"/>
          <w:sz w:val="20"/>
          <w:szCs w:val="20"/>
        </w:rPr>
        <w:t xml:space="preserve">; </w:t>
      </w:r>
    </w:p>
    <w:p w14:paraId="1A9BB978" w14:textId="77777777" w:rsidR="00C82352" w:rsidRDefault="00C82352" w:rsidP="00C82352">
      <w:pPr>
        <w:pStyle w:val="BodyTextIndentFirstLine"/>
        <w:numPr>
          <w:ilvl w:val="0"/>
          <w:numId w:val="24"/>
        </w:numPr>
        <w:spacing w:after="0"/>
        <w:contextualSpacing/>
        <w:jc w:val="both"/>
        <w:rPr>
          <w:rFonts w:ascii="Arial" w:hAnsi="Arial" w:cs="Arial"/>
          <w:sz w:val="20"/>
          <w:szCs w:val="20"/>
        </w:rPr>
      </w:pPr>
      <w:r>
        <w:rPr>
          <w:rFonts w:ascii="Arial" w:hAnsi="Arial" w:cs="Arial"/>
          <w:sz w:val="20"/>
          <w:szCs w:val="20"/>
        </w:rPr>
        <w:t>costs of</w:t>
      </w:r>
      <w:r w:rsidRPr="005D050C">
        <w:rPr>
          <w:rFonts w:ascii="Arial" w:hAnsi="Arial" w:cs="Arial"/>
          <w:sz w:val="20"/>
          <w:szCs w:val="20"/>
        </w:rPr>
        <w:t xml:space="preserve"> inspection and loading</w:t>
      </w:r>
      <w:r>
        <w:rPr>
          <w:rFonts w:ascii="Arial" w:hAnsi="Arial" w:cs="Arial"/>
          <w:sz w:val="20"/>
          <w:szCs w:val="20"/>
        </w:rPr>
        <w:t>;</w:t>
      </w:r>
      <w:r w:rsidRPr="005D050C">
        <w:rPr>
          <w:rFonts w:ascii="Arial" w:hAnsi="Arial" w:cs="Arial"/>
          <w:sz w:val="20"/>
          <w:szCs w:val="20"/>
        </w:rPr>
        <w:t xml:space="preserve"> </w:t>
      </w:r>
    </w:p>
    <w:p w14:paraId="6326FBF8" w14:textId="77777777" w:rsidR="00C82352" w:rsidRDefault="00C82352" w:rsidP="00C82352">
      <w:pPr>
        <w:pStyle w:val="BodyTextIndentFirstLine"/>
        <w:numPr>
          <w:ilvl w:val="0"/>
          <w:numId w:val="24"/>
        </w:numPr>
        <w:spacing w:after="0"/>
        <w:contextualSpacing/>
        <w:jc w:val="both"/>
        <w:rPr>
          <w:rFonts w:ascii="Arial" w:hAnsi="Arial" w:cs="Arial"/>
          <w:sz w:val="20"/>
          <w:szCs w:val="20"/>
        </w:rPr>
      </w:pPr>
      <w:r w:rsidRPr="005D050C">
        <w:rPr>
          <w:rFonts w:ascii="Arial" w:hAnsi="Arial" w:cs="Arial"/>
          <w:sz w:val="20"/>
          <w:szCs w:val="20"/>
        </w:rPr>
        <w:t>dut</w:t>
      </w:r>
      <w:r>
        <w:rPr>
          <w:rFonts w:ascii="Arial" w:hAnsi="Arial" w:cs="Arial"/>
          <w:sz w:val="20"/>
          <w:szCs w:val="20"/>
        </w:rPr>
        <w:t>ies</w:t>
      </w:r>
      <w:r w:rsidRPr="005D050C">
        <w:rPr>
          <w:rFonts w:ascii="Arial" w:hAnsi="Arial" w:cs="Arial"/>
          <w:sz w:val="20"/>
          <w:szCs w:val="20"/>
        </w:rPr>
        <w:t xml:space="preserve"> and taxes</w:t>
      </w:r>
      <w:r>
        <w:rPr>
          <w:rFonts w:ascii="Arial" w:hAnsi="Arial" w:cs="Arial"/>
          <w:sz w:val="20"/>
          <w:szCs w:val="20"/>
        </w:rPr>
        <w:t>;</w:t>
      </w:r>
    </w:p>
    <w:p w14:paraId="699D4EF4" w14:textId="77777777" w:rsidR="00C82352" w:rsidRDefault="00C82352" w:rsidP="00C82352">
      <w:pPr>
        <w:pStyle w:val="BodyTextIndentFirstLine"/>
        <w:numPr>
          <w:ilvl w:val="0"/>
          <w:numId w:val="24"/>
        </w:numPr>
        <w:spacing w:after="0"/>
        <w:contextualSpacing/>
        <w:jc w:val="both"/>
        <w:rPr>
          <w:rFonts w:ascii="Arial" w:hAnsi="Arial" w:cs="Arial"/>
          <w:sz w:val="20"/>
          <w:szCs w:val="20"/>
        </w:rPr>
      </w:pPr>
      <w:r w:rsidRPr="00D61772">
        <w:rPr>
          <w:rFonts w:ascii="Arial" w:hAnsi="Arial" w:cs="Arial"/>
          <w:sz w:val="20"/>
          <w:szCs w:val="20"/>
        </w:rPr>
        <w:t>port dues</w:t>
      </w:r>
      <w:r>
        <w:rPr>
          <w:rFonts w:ascii="Arial" w:hAnsi="Arial" w:cs="Arial"/>
          <w:sz w:val="20"/>
          <w:szCs w:val="20"/>
        </w:rPr>
        <w:t xml:space="preserve"> and port services charges</w:t>
      </w:r>
      <w:r w:rsidRPr="00D61772">
        <w:rPr>
          <w:rFonts w:ascii="Arial" w:hAnsi="Arial" w:cs="Arial"/>
          <w:sz w:val="20"/>
          <w:szCs w:val="20"/>
        </w:rPr>
        <w:t xml:space="preserve"> at the po</w:t>
      </w:r>
      <w:r>
        <w:rPr>
          <w:rFonts w:ascii="Arial" w:hAnsi="Arial" w:cs="Arial"/>
          <w:sz w:val="20"/>
          <w:szCs w:val="20"/>
        </w:rPr>
        <w:t>rt</w:t>
      </w:r>
      <w:r w:rsidRPr="00D61772">
        <w:rPr>
          <w:rFonts w:ascii="Arial" w:hAnsi="Arial" w:cs="Arial"/>
          <w:sz w:val="20"/>
          <w:szCs w:val="20"/>
        </w:rPr>
        <w:t xml:space="preserve"> of loading</w:t>
      </w:r>
      <w:r>
        <w:rPr>
          <w:rFonts w:ascii="Arial" w:hAnsi="Arial" w:cs="Arial"/>
          <w:sz w:val="20"/>
          <w:szCs w:val="20"/>
        </w:rPr>
        <w:t>;</w:t>
      </w:r>
      <w:r w:rsidRPr="00D61772">
        <w:rPr>
          <w:rFonts w:ascii="Arial" w:hAnsi="Arial" w:cs="Arial"/>
          <w:sz w:val="20"/>
          <w:szCs w:val="20"/>
        </w:rPr>
        <w:t xml:space="preserve"> </w:t>
      </w:r>
    </w:p>
    <w:p w14:paraId="52EADC21" w14:textId="77777777" w:rsidR="00C82352" w:rsidRDefault="00C82352" w:rsidP="00C82352">
      <w:pPr>
        <w:pStyle w:val="BodyTextIndentFirstLine"/>
        <w:numPr>
          <w:ilvl w:val="0"/>
          <w:numId w:val="24"/>
        </w:numPr>
        <w:spacing w:after="0"/>
        <w:contextualSpacing/>
        <w:jc w:val="both"/>
        <w:rPr>
          <w:rFonts w:ascii="Arial" w:hAnsi="Arial" w:cs="Arial"/>
          <w:sz w:val="20"/>
          <w:szCs w:val="20"/>
        </w:rPr>
      </w:pPr>
      <w:r w:rsidRPr="00D61772">
        <w:rPr>
          <w:rFonts w:ascii="Arial" w:hAnsi="Arial" w:cs="Arial"/>
          <w:sz w:val="20"/>
          <w:szCs w:val="20"/>
        </w:rPr>
        <w:t xml:space="preserve">costs of insuring the shipment </w:t>
      </w:r>
      <w:r>
        <w:rPr>
          <w:rFonts w:ascii="Arial" w:hAnsi="Arial" w:cs="Arial"/>
          <w:sz w:val="20"/>
          <w:szCs w:val="20"/>
        </w:rPr>
        <w:t>up until delivery to</w:t>
      </w:r>
      <w:r w:rsidRPr="00D61772">
        <w:rPr>
          <w:rFonts w:ascii="Arial" w:hAnsi="Arial" w:cs="Arial"/>
          <w:sz w:val="20"/>
          <w:szCs w:val="20"/>
        </w:rPr>
        <w:t xml:space="preserve"> </w:t>
      </w:r>
      <w:r>
        <w:rPr>
          <w:rFonts w:ascii="Arial" w:hAnsi="Arial" w:cs="Arial"/>
          <w:sz w:val="20"/>
          <w:szCs w:val="20"/>
        </w:rPr>
        <w:t>the buyer</w:t>
      </w:r>
      <w:r w:rsidRPr="00D61772">
        <w:rPr>
          <w:rFonts w:ascii="Arial" w:hAnsi="Arial" w:cs="Arial"/>
          <w:sz w:val="20"/>
          <w:szCs w:val="20"/>
        </w:rPr>
        <w:t xml:space="preserve"> at the port of destination</w:t>
      </w:r>
      <w:r>
        <w:rPr>
          <w:rFonts w:ascii="Arial" w:hAnsi="Arial" w:cs="Arial"/>
          <w:sz w:val="20"/>
          <w:szCs w:val="20"/>
        </w:rPr>
        <w:t xml:space="preserve"> or other place of discharge from the vessel</w:t>
      </w:r>
      <w:r w:rsidRPr="00D61772">
        <w:rPr>
          <w:rFonts w:ascii="Arial" w:hAnsi="Arial" w:cs="Arial"/>
          <w:sz w:val="20"/>
          <w:szCs w:val="20"/>
        </w:rPr>
        <w:t>;</w:t>
      </w:r>
    </w:p>
    <w:p w14:paraId="170BB0A3" w14:textId="77777777" w:rsidR="00C82352" w:rsidRPr="00D61772" w:rsidRDefault="00C82352" w:rsidP="00C82352">
      <w:pPr>
        <w:pStyle w:val="BodyTextIndentFirstLine"/>
        <w:numPr>
          <w:ilvl w:val="0"/>
          <w:numId w:val="24"/>
        </w:numPr>
        <w:spacing w:after="0"/>
        <w:contextualSpacing/>
        <w:jc w:val="both"/>
        <w:rPr>
          <w:rFonts w:ascii="Arial" w:hAnsi="Arial" w:cs="Arial"/>
          <w:sz w:val="20"/>
          <w:szCs w:val="20"/>
        </w:rPr>
      </w:pPr>
      <w:r w:rsidRPr="00D61772">
        <w:rPr>
          <w:rFonts w:ascii="Arial" w:hAnsi="Arial" w:cs="Arial"/>
          <w:sz w:val="20"/>
          <w:szCs w:val="20"/>
        </w:rPr>
        <w:t>the costs of freight from the port of loading to the port of destination</w:t>
      </w:r>
      <w:r>
        <w:rPr>
          <w:rFonts w:ascii="Arial" w:hAnsi="Arial" w:cs="Arial"/>
          <w:sz w:val="20"/>
          <w:szCs w:val="20"/>
        </w:rPr>
        <w:t xml:space="preserve"> or other place of discharge from the vessel</w:t>
      </w:r>
      <w:r w:rsidRPr="00D61772">
        <w:rPr>
          <w:rFonts w:ascii="Arial" w:hAnsi="Arial" w:cs="Arial"/>
          <w:sz w:val="20"/>
          <w:szCs w:val="20"/>
        </w:rPr>
        <w:t>;</w:t>
      </w:r>
      <w:r>
        <w:rPr>
          <w:rFonts w:ascii="Arial" w:hAnsi="Arial" w:cs="Arial"/>
          <w:sz w:val="20"/>
          <w:szCs w:val="20"/>
        </w:rPr>
        <w:t xml:space="preserve"> </w:t>
      </w:r>
    </w:p>
    <w:p w14:paraId="36841E1B" w14:textId="77777777" w:rsidR="00C82352" w:rsidRDefault="00C82352" w:rsidP="00C82352">
      <w:pPr>
        <w:pStyle w:val="BodyTextIndentFirstLine"/>
        <w:numPr>
          <w:ilvl w:val="0"/>
          <w:numId w:val="24"/>
        </w:numPr>
        <w:contextualSpacing/>
        <w:jc w:val="both"/>
        <w:rPr>
          <w:rFonts w:ascii="Arial" w:hAnsi="Arial" w:cs="Arial"/>
          <w:sz w:val="20"/>
          <w:szCs w:val="20"/>
        </w:rPr>
      </w:pPr>
      <w:r>
        <w:rPr>
          <w:rFonts w:ascii="Arial" w:hAnsi="Arial" w:cs="Arial"/>
          <w:sz w:val="20"/>
          <w:szCs w:val="20"/>
        </w:rPr>
        <w:t xml:space="preserve">the </w:t>
      </w:r>
      <w:r w:rsidRPr="00D61772">
        <w:rPr>
          <w:rFonts w:ascii="Arial" w:hAnsi="Arial" w:cs="Arial"/>
          <w:sz w:val="20"/>
          <w:szCs w:val="20"/>
        </w:rPr>
        <w:t xml:space="preserve">costs related to the provision </w:t>
      </w:r>
      <w:r>
        <w:rPr>
          <w:rFonts w:ascii="Arial" w:hAnsi="Arial" w:cs="Arial"/>
          <w:sz w:val="20"/>
          <w:szCs w:val="20"/>
        </w:rPr>
        <w:t xml:space="preserve">of </w:t>
      </w:r>
      <w:r w:rsidRPr="00D61772">
        <w:rPr>
          <w:rFonts w:ascii="Arial" w:hAnsi="Arial" w:cs="Arial"/>
          <w:sz w:val="20"/>
          <w:szCs w:val="20"/>
        </w:rPr>
        <w:t>auxiliary services for</w:t>
      </w:r>
      <w:r>
        <w:rPr>
          <w:rFonts w:ascii="Arial" w:hAnsi="Arial" w:cs="Arial"/>
          <w:sz w:val="20"/>
          <w:szCs w:val="20"/>
        </w:rPr>
        <w:t xml:space="preserve"> any</w:t>
      </w:r>
      <w:r w:rsidRPr="00D61772">
        <w:rPr>
          <w:rFonts w:ascii="Arial" w:hAnsi="Arial" w:cs="Arial"/>
          <w:sz w:val="20"/>
          <w:szCs w:val="20"/>
        </w:rPr>
        <w:t xml:space="preserve"> ship-to-ship transfer</w:t>
      </w:r>
      <w:r>
        <w:rPr>
          <w:rFonts w:ascii="Arial" w:hAnsi="Arial" w:cs="Arial"/>
          <w:sz w:val="20"/>
          <w:szCs w:val="20"/>
        </w:rPr>
        <w:t>; and</w:t>
      </w:r>
    </w:p>
    <w:p w14:paraId="0583B0D4" w14:textId="77777777" w:rsidR="00C82352" w:rsidRPr="007E458B" w:rsidRDefault="00C82352" w:rsidP="007E458B">
      <w:pPr>
        <w:pStyle w:val="BodyTextIndentFirstLine"/>
        <w:numPr>
          <w:ilvl w:val="0"/>
          <w:numId w:val="24"/>
        </w:numPr>
        <w:contextualSpacing/>
        <w:jc w:val="both"/>
        <w:rPr>
          <w:rFonts w:ascii="Arial" w:hAnsi="Arial" w:cs="Arial"/>
          <w:sz w:val="20"/>
          <w:szCs w:val="20"/>
        </w:rPr>
      </w:pPr>
      <w:r>
        <w:rPr>
          <w:rFonts w:ascii="Arial" w:hAnsi="Arial" w:cs="Arial"/>
          <w:sz w:val="20"/>
          <w:szCs w:val="20"/>
        </w:rPr>
        <w:t xml:space="preserve">any other costs necessary for Underwriters to assess whether </w:t>
      </w:r>
      <w:r w:rsidRPr="001C0B93">
        <w:rPr>
          <w:rFonts w:ascii="Arial" w:hAnsi="Arial" w:cs="Arial"/>
          <w:sz w:val="20"/>
          <w:szCs w:val="20"/>
        </w:rPr>
        <w:t xml:space="preserve">the price paid for the Russian Oil </w:t>
      </w:r>
      <w:r>
        <w:rPr>
          <w:rFonts w:ascii="Arial" w:hAnsi="Arial" w:cs="Arial"/>
          <w:sz w:val="20"/>
          <w:szCs w:val="20"/>
        </w:rPr>
        <w:t xml:space="preserve">or the Russian Oil Product, as the case may be, </w:t>
      </w:r>
      <w:r w:rsidRPr="001C0B93">
        <w:rPr>
          <w:rFonts w:ascii="Arial" w:hAnsi="Arial" w:cs="Arial"/>
          <w:sz w:val="20"/>
          <w:szCs w:val="20"/>
        </w:rPr>
        <w:t>at all material times complie</w:t>
      </w:r>
      <w:r>
        <w:rPr>
          <w:rFonts w:ascii="Arial" w:hAnsi="Arial" w:cs="Arial"/>
          <w:sz w:val="20"/>
          <w:szCs w:val="20"/>
        </w:rPr>
        <w:t>d</w:t>
      </w:r>
      <w:r w:rsidRPr="001C0B93">
        <w:rPr>
          <w:rFonts w:ascii="Arial" w:hAnsi="Arial" w:cs="Arial"/>
          <w:sz w:val="20"/>
          <w:szCs w:val="20"/>
        </w:rPr>
        <w:t xml:space="preserve"> with the</w:t>
      </w:r>
      <w:r>
        <w:rPr>
          <w:rFonts w:ascii="Arial" w:hAnsi="Arial" w:cs="Arial"/>
          <w:sz w:val="20"/>
          <w:szCs w:val="20"/>
        </w:rPr>
        <w:t xml:space="preserve"> relevant</w:t>
      </w:r>
      <w:r w:rsidRPr="001C0B93">
        <w:rPr>
          <w:rFonts w:ascii="Arial" w:hAnsi="Arial" w:cs="Arial"/>
          <w:sz w:val="20"/>
          <w:szCs w:val="20"/>
        </w:rPr>
        <w:t xml:space="preserve"> Price Cap</w:t>
      </w:r>
      <w:r>
        <w:rPr>
          <w:rFonts w:ascii="Arial" w:hAnsi="Arial" w:cs="Arial"/>
          <w:sz w:val="20"/>
          <w:szCs w:val="20"/>
        </w:rPr>
        <w:t>.</w:t>
      </w:r>
    </w:p>
    <w:p w14:paraId="28235F47" w14:textId="77777777" w:rsidR="00C82352" w:rsidRDefault="00C82352" w:rsidP="000906A8">
      <w:pPr>
        <w:pStyle w:val="BodyTextIndentFirstLine"/>
        <w:spacing w:after="0"/>
        <w:ind w:firstLine="0"/>
        <w:jc w:val="both"/>
        <w:rPr>
          <w:rFonts w:ascii="Arial" w:hAnsi="Arial" w:cs="Arial"/>
          <w:b/>
          <w:bCs/>
          <w:i/>
          <w:iCs/>
          <w:sz w:val="20"/>
          <w:szCs w:val="20"/>
        </w:rPr>
      </w:pPr>
    </w:p>
    <w:p w14:paraId="700AEB5A" w14:textId="77777777" w:rsidR="004B4DE6" w:rsidRDefault="000750DC" w:rsidP="000906A8">
      <w:pPr>
        <w:pStyle w:val="BodyTextIndentFirstLine"/>
        <w:spacing w:after="0"/>
        <w:ind w:firstLine="0"/>
        <w:jc w:val="both"/>
        <w:rPr>
          <w:rFonts w:ascii="Arial" w:hAnsi="Arial" w:cs="Arial"/>
          <w:sz w:val="20"/>
          <w:szCs w:val="20"/>
        </w:rPr>
      </w:pPr>
      <w:r>
        <w:rPr>
          <w:rFonts w:ascii="Arial" w:hAnsi="Arial" w:cs="Arial"/>
          <w:b/>
          <w:bCs/>
          <w:i/>
          <w:iCs/>
          <w:sz w:val="20"/>
          <w:szCs w:val="20"/>
        </w:rPr>
        <w:t xml:space="preserve">Emergency </w:t>
      </w:r>
      <w:r>
        <w:rPr>
          <w:rFonts w:ascii="Arial" w:hAnsi="Arial" w:cs="Arial"/>
          <w:sz w:val="20"/>
          <w:szCs w:val="20"/>
        </w:rPr>
        <w:t xml:space="preserve">means </w:t>
      </w:r>
      <w:r w:rsidRPr="000750DC">
        <w:rPr>
          <w:rFonts w:ascii="Arial" w:hAnsi="Arial" w:cs="Arial"/>
          <w:sz w:val="20"/>
          <w:szCs w:val="20"/>
        </w:rPr>
        <w:t>an event likely to have a serious and significant impact on human health or safety</w:t>
      </w:r>
      <w:r>
        <w:rPr>
          <w:rFonts w:ascii="Arial" w:hAnsi="Arial" w:cs="Arial"/>
          <w:sz w:val="20"/>
          <w:szCs w:val="20"/>
        </w:rPr>
        <w:t xml:space="preserve"> </w:t>
      </w:r>
      <w:r w:rsidRPr="000750DC">
        <w:rPr>
          <w:rFonts w:ascii="Arial" w:hAnsi="Arial" w:cs="Arial"/>
          <w:sz w:val="20"/>
          <w:szCs w:val="20"/>
        </w:rPr>
        <w:t>or the environment</w:t>
      </w:r>
      <w:r>
        <w:rPr>
          <w:rFonts w:ascii="Arial" w:hAnsi="Arial" w:cs="Arial"/>
          <w:sz w:val="20"/>
          <w:szCs w:val="20"/>
        </w:rPr>
        <w:t>.</w:t>
      </w:r>
    </w:p>
    <w:p w14:paraId="6DF3BD40" w14:textId="77777777" w:rsidR="00D21699" w:rsidRDefault="00D21699" w:rsidP="000906A8">
      <w:pPr>
        <w:pStyle w:val="BodyTextIndentFirstLine"/>
        <w:spacing w:after="0"/>
        <w:ind w:firstLine="0"/>
        <w:jc w:val="both"/>
        <w:rPr>
          <w:rFonts w:ascii="Arial" w:hAnsi="Arial" w:cs="Arial"/>
          <w:sz w:val="20"/>
          <w:szCs w:val="20"/>
        </w:rPr>
      </w:pPr>
    </w:p>
    <w:p w14:paraId="3AB02D45" w14:textId="77777777" w:rsidR="003F5E5C" w:rsidRDefault="003F5E5C" w:rsidP="000906A8">
      <w:pPr>
        <w:pStyle w:val="BodyTextIndentFirstLine"/>
        <w:spacing w:after="0"/>
        <w:ind w:firstLine="0"/>
        <w:jc w:val="both"/>
        <w:rPr>
          <w:rFonts w:ascii="Arial" w:hAnsi="Arial" w:cs="Arial"/>
          <w:sz w:val="20"/>
          <w:szCs w:val="20"/>
        </w:rPr>
      </w:pPr>
      <w:r w:rsidRPr="001C0B93">
        <w:rPr>
          <w:rFonts w:ascii="Arial" w:hAnsi="Arial" w:cs="Arial"/>
          <w:b/>
          <w:bCs/>
          <w:i/>
          <w:iCs/>
          <w:sz w:val="20"/>
          <w:szCs w:val="20"/>
        </w:rPr>
        <w:t>Russian Oil</w:t>
      </w:r>
      <w:r w:rsidRPr="001C0B93">
        <w:rPr>
          <w:rFonts w:ascii="Arial" w:hAnsi="Arial" w:cs="Arial"/>
          <w:sz w:val="20"/>
          <w:szCs w:val="20"/>
        </w:rPr>
        <w:t xml:space="preserve"> means oil (HS code 2709</w:t>
      </w:r>
      <w:r w:rsidR="001E73CD">
        <w:rPr>
          <w:rFonts w:ascii="Arial" w:hAnsi="Arial" w:cs="Arial"/>
          <w:sz w:val="20"/>
          <w:szCs w:val="20"/>
        </w:rPr>
        <w:t xml:space="preserve"> / CN code 2709</w:t>
      </w:r>
      <w:r w:rsidR="00357814">
        <w:rPr>
          <w:rFonts w:ascii="Arial" w:hAnsi="Arial" w:cs="Arial"/>
          <w:sz w:val="20"/>
          <w:szCs w:val="20"/>
        </w:rPr>
        <w:t xml:space="preserve"> 00 / HTS code 2709.00</w:t>
      </w:r>
      <w:r w:rsidRPr="001C0B93">
        <w:rPr>
          <w:rFonts w:ascii="Arial" w:hAnsi="Arial" w:cs="Arial"/>
          <w:sz w:val="20"/>
          <w:szCs w:val="20"/>
        </w:rPr>
        <w:t>) originating in or consigned from Russia</w:t>
      </w:r>
      <w:r w:rsidR="00357814">
        <w:rPr>
          <w:rFonts w:ascii="Arial" w:hAnsi="Arial" w:cs="Arial"/>
          <w:sz w:val="20"/>
          <w:szCs w:val="20"/>
        </w:rPr>
        <w:t xml:space="preserve"> </w:t>
      </w:r>
      <w:r w:rsidR="00357814" w:rsidRPr="00357814">
        <w:rPr>
          <w:rFonts w:ascii="Arial" w:hAnsi="Arial" w:cs="Arial"/>
          <w:sz w:val="20"/>
          <w:szCs w:val="20"/>
        </w:rPr>
        <w:t>which falls within the scope of the maritime transportation and related services prohibition imposed by the Price Cap Coalition</w:t>
      </w:r>
      <w:r w:rsidRPr="001C0B93">
        <w:rPr>
          <w:rFonts w:ascii="Arial" w:hAnsi="Arial" w:cs="Arial"/>
          <w:sz w:val="20"/>
          <w:szCs w:val="20"/>
        </w:rPr>
        <w:t>.</w:t>
      </w:r>
    </w:p>
    <w:p w14:paraId="13C594FF" w14:textId="77777777" w:rsidR="00CF2648" w:rsidRDefault="00CF2648" w:rsidP="000906A8">
      <w:pPr>
        <w:pStyle w:val="BodyTextIndentFirstLine"/>
        <w:spacing w:after="0"/>
        <w:ind w:firstLine="0"/>
        <w:jc w:val="both"/>
        <w:rPr>
          <w:rFonts w:ascii="Arial" w:hAnsi="Arial" w:cs="Arial"/>
          <w:sz w:val="20"/>
          <w:szCs w:val="20"/>
        </w:rPr>
      </w:pPr>
    </w:p>
    <w:p w14:paraId="1DF1C7D1" w14:textId="77777777" w:rsidR="00CF2648" w:rsidRPr="00CF2648" w:rsidRDefault="00CF2648" w:rsidP="000906A8">
      <w:pPr>
        <w:pStyle w:val="BodyTextIndentFirstLine"/>
        <w:spacing w:after="0"/>
        <w:ind w:firstLine="0"/>
        <w:jc w:val="both"/>
        <w:rPr>
          <w:rFonts w:ascii="Arial" w:hAnsi="Arial" w:cs="Arial"/>
          <w:sz w:val="20"/>
          <w:szCs w:val="20"/>
        </w:rPr>
      </w:pPr>
      <w:r>
        <w:rPr>
          <w:rFonts w:ascii="Arial" w:hAnsi="Arial" w:cs="Arial"/>
          <w:b/>
          <w:bCs/>
          <w:i/>
          <w:iCs/>
          <w:sz w:val="20"/>
          <w:szCs w:val="20"/>
        </w:rPr>
        <w:t>Russian Oil Product</w:t>
      </w:r>
      <w:r>
        <w:rPr>
          <w:rFonts w:ascii="Arial" w:hAnsi="Arial" w:cs="Arial"/>
          <w:b/>
          <w:bCs/>
          <w:sz w:val="20"/>
          <w:szCs w:val="20"/>
        </w:rPr>
        <w:t xml:space="preserve"> </w:t>
      </w:r>
      <w:r>
        <w:rPr>
          <w:rFonts w:ascii="Arial" w:hAnsi="Arial" w:cs="Arial"/>
          <w:sz w:val="20"/>
          <w:szCs w:val="20"/>
        </w:rPr>
        <w:t xml:space="preserve">means oil product </w:t>
      </w:r>
      <w:r>
        <w:rPr>
          <w:rFonts w:ascii="Arial" w:hAnsi="Arial" w:cs="Arial"/>
          <w:kern w:val="18"/>
          <w:sz w:val="20"/>
          <w:szCs w:val="20"/>
        </w:rPr>
        <w:t>(HS code 2710 / CN code 2710</w:t>
      </w:r>
      <w:r w:rsidR="00357814">
        <w:rPr>
          <w:rFonts w:ascii="Arial" w:hAnsi="Arial" w:cs="Arial"/>
          <w:kern w:val="18"/>
          <w:sz w:val="20"/>
          <w:szCs w:val="20"/>
        </w:rPr>
        <w:t xml:space="preserve"> / HTS code 2710</w:t>
      </w:r>
      <w:r>
        <w:rPr>
          <w:rFonts w:ascii="Arial" w:hAnsi="Arial" w:cs="Arial"/>
          <w:kern w:val="18"/>
          <w:sz w:val="20"/>
          <w:szCs w:val="20"/>
        </w:rPr>
        <w:t>) originating in or consigned from Russia</w:t>
      </w:r>
      <w:r w:rsidR="00357814">
        <w:rPr>
          <w:rFonts w:ascii="Arial" w:hAnsi="Arial" w:cs="Arial"/>
          <w:kern w:val="18"/>
          <w:sz w:val="20"/>
          <w:szCs w:val="20"/>
        </w:rPr>
        <w:t xml:space="preserve"> </w:t>
      </w:r>
      <w:r w:rsidR="00357814">
        <w:rPr>
          <w:rFonts w:ascii="Arial" w:hAnsi="Arial" w:cs="Arial"/>
          <w:sz w:val="20"/>
          <w:szCs w:val="20"/>
        </w:rPr>
        <w:t>which falls within the scope of the maritime transportation and related services prohibition imposed by the Price Cap Coalition</w:t>
      </w:r>
      <w:r>
        <w:rPr>
          <w:rFonts w:ascii="Arial" w:hAnsi="Arial" w:cs="Arial"/>
          <w:kern w:val="18"/>
          <w:sz w:val="20"/>
          <w:szCs w:val="20"/>
        </w:rPr>
        <w:t xml:space="preserve">. </w:t>
      </w:r>
    </w:p>
    <w:p w14:paraId="5F8B53D9" w14:textId="77777777" w:rsidR="000906A8" w:rsidRPr="001C0B93" w:rsidRDefault="000906A8" w:rsidP="000906A8">
      <w:pPr>
        <w:pStyle w:val="BodyTextIndentFirstLine"/>
        <w:spacing w:after="0"/>
        <w:ind w:firstLine="0"/>
        <w:jc w:val="both"/>
        <w:rPr>
          <w:rFonts w:ascii="Arial" w:hAnsi="Arial" w:cs="Arial"/>
          <w:sz w:val="20"/>
          <w:szCs w:val="20"/>
        </w:rPr>
      </w:pPr>
    </w:p>
    <w:p w14:paraId="7F1C8B23" w14:textId="77777777" w:rsidR="003F5E5C" w:rsidRPr="001C0B93" w:rsidRDefault="003F5E5C" w:rsidP="000906A8">
      <w:pPr>
        <w:pStyle w:val="BodyTextIndentFirstLine"/>
        <w:spacing w:after="0"/>
        <w:ind w:firstLine="0"/>
        <w:jc w:val="both"/>
        <w:rPr>
          <w:rFonts w:ascii="Arial" w:hAnsi="Arial" w:cs="Arial"/>
          <w:sz w:val="20"/>
          <w:szCs w:val="20"/>
        </w:rPr>
      </w:pPr>
      <w:r w:rsidRPr="001C0B93">
        <w:rPr>
          <w:rFonts w:ascii="Arial" w:hAnsi="Arial" w:cs="Arial"/>
          <w:b/>
          <w:bCs/>
          <w:i/>
          <w:iCs/>
          <w:sz w:val="20"/>
          <w:szCs w:val="20"/>
        </w:rPr>
        <w:t>Price Cap</w:t>
      </w:r>
      <w:r w:rsidRPr="001C0B93">
        <w:rPr>
          <w:rFonts w:ascii="Arial" w:hAnsi="Arial" w:cs="Arial"/>
          <w:sz w:val="20"/>
          <w:szCs w:val="20"/>
        </w:rPr>
        <w:t xml:space="preserve"> means the price, or cap, set for the purchase or sale of the Russian Oil</w:t>
      </w:r>
      <w:r w:rsidR="00F608A9">
        <w:rPr>
          <w:rFonts w:ascii="Arial" w:hAnsi="Arial" w:cs="Arial"/>
          <w:sz w:val="20"/>
          <w:szCs w:val="20"/>
        </w:rPr>
        <w:t xml:space="preserve"> or the Russian Oil Product by</w:t>
      </w:r>
      <w:r w:rsidRPr="001C0B93">
        <w:rPr>
          <w:rFonts w:ascii="Arial" w:hAnsi="Arial" w:cs="Arial"/>
          <w:sz w:val="20"/>
          <w:szCs w:val="20"/>
        </w:rPr>
        <w:t xml:space="preserve"> the Price Cap Coalition as may be amended from time to time. </w:t>
      </w:r>
    </w:p>
    <w:p w14:paraId="0512BFB8" w14:textId="77777777" w:rsidR="000906A8" w:rsidRPr="001C0B93" w:rsidRDefault="000906A8" w:rsidP="000906A8">
      <w:pPr>
        <w:pStyle w:val="BodyTextIndentFirstLine"/>
        <w:spacing w:after="0"/>
        <w:ind w:firstLine="0"/>
        <w:jc w:val="both"/>
        <w:rPr>
          <w:rFonts w:ascii="Arial" w:hAnsi="Arial" w:cs="Arial"/>
          <w:sz w:val="20"/>
          <w:szCs w:val="20"/>
        </w:rPr>
      </w:pPr>
    </w:p>
    <w:p w14:paraId="3B51AF04" w14:textId="77777777" w:rsidR="003F5E5C" w:rsidRPr="001C0B93" w:rsidRDefault="003F5E5C" w:rsidP="000906A8">
      <w:pPr>
        <w:pStyle w:val="BodyTextIndentFirstLine"/>
        <w:spacing w:after="0"/>
        <w:ind w:firstLine="0"/>
        <w:jc w:val="both"/>
        <w:rPr>
          <w:rFonts w:ascii="Arial" w:hAnsi="Arial" w:cs="Arial"/>
          <w:kern w:val="18"/>
          <w:sz w:val="20"/>
          <w:szCs w:val="20"/>
        </w:rPr>
      </w:pPr>
      <w:r w:rsidRPr="001C0B93">
        <w:rPr>
          <w:rFonts w:ascii="Arial" w:hAnsi="Arial" w:cs="Arial"/>
          <w:b/>
          <w:bCs/>
          <w:i/>
          <w:iCs/>
          <w:sz w:val="20"/>
          <w:szCs w:val="20"/>
        </w:rPr>
        <w:t>Price Cap Coalition</w:t>
      </w:r>
      <w:r w:rsidRPr="001C0B93">
        <w:rPr>
          <w:rFonts w:ascii="Arial" w:hAnsi="Arial" w:cs="Arial"/>
          <w:sz w:val="20"/>
          <w:szCs w:val="20"/>
        </w:rPr>
        <w:t xml:space="preserve"> means the </w:t>
      </w:r>
      <w:r w:rsidRPr="001C0B93">
        <w:rPr>
          <w:rFonts w:ascii="Arial" w:hAnsi="Arial" w:cs="Arial"/>
          <w:kern w:val="18"/>
          <w:sz w:val="20"/>
          <w:szCs w:val="20"/>
        </w:rPr>
        <w:t>members of the G7, the European Union and Australia which have agreed to implement the Price Cap, and any other state which may join the initiative.</w:t>
      </w:r>
    </w:p>
    <w:p w14:paraId="47B3F6A2" w14:textId="77777777" w:rsidR="000906A8" w:rsidRPr="001C0B93" w:rsidRDefault="000906A8" w:rsidP="000906A8">
      <w:pPr>
        <w:pStyle w:val="BodyTextIndentFirstLine"/>
        <w:spacing w:after="0"/>
        <w:ind w:firstLine="0"/>
        <w:jc w:val="both"/>
        <w:rPr>
          <w:rFonts w:ascii="Arial" w:hAnsi="Arial" w:cs="Arial"/>
          <w:sz w:val="20"/>
          <w:szCs w:val="20"/>
        </w:rPr>
      </w:pPr>
    </w:p>
    <w:p w14:paraId="5E0977F2" w14:textId="77777777" w:rsidR="003F5E5C" w:rsidRDefault="003F5E5C" w:rsidP="000906A8">
      <w:pPr>
        <w:pStyle w:val="BodyTextIndentFirstLine"/>
        <w:spacing w:after="0"/>
        <w:ind w:firstLine="0"/>
        <w:jc w:val="both"/>
        <w:rPr>
          <w:rFonts w:ascii="Arial" w:hAnsi="Arial" w:cs="Arial"/>
          <w:kern w:val="18"/>
          <w:sz w:val="20"/>
          <w:szCs w:val="20"/>
        </w:rPr>
      </w:pPr>
      <w:r w:rsidRPr="001C0B93">
        <w:rPr>
          <w:rFonts w:ascii="Arial" w:hAnsi="Arial" w:cs="Arial"/>
          <w:b/>
          <w:bCs/>
          <w:i/>
          <w:iCs/>
          <w:sz w:val="20"/>
          <w:szCs w:val="20"/>
        </w:rPr>
        <w:t>Prohibited Activity</w:t>
      </w:r>
      <w:r w:rsidRPr="001C0B93">
        <w:rPr>
          <w:rFonts w:ascii="Arial" w:hAnsi="Arial" w:cs="Arial"/>
          <w:b/>
          <w:bCs/>
          <w:sz w:val="20"/>
          <w:szCs w:val="20"/>
        </w:rPr>
        <w:t xml:space="preserve"> </w:t>
      </w:r>
      <w:r w:rsidRPr="001C0B93">
        <w:rPr>
          <w:rFonts w:ascii="Arial" w:hAnsi="Arial" w:cs="Arial"/>
          <w:sz w:val="20"/>
          <w:szCs w:val="20"/>
        </w:rPr>
        <w:t>means</w:t>
      </w:r>
      <w:r w:rsidRPr="001C0B93">
        <w:rPr>
          <w:rFonts w:ascii="Arial" w:hAnsi="Arial" w:cs="Arial"/>
          <w:b/>
          <w:bCs/>
          <w:sz w:val="20"/>
          <w:szCs w:val="20"/>
        </w:rPr>
        <w:t xml:space="preserve"> </w:t>
      </w:r>
      <w:r w:rsidRPr="001C0B93">
        <w:rPr>
          <w:rFonts w:ascii="Arial" w:hAnsi="Arial" w:cs="Arial"/>
          <w:sz w:val="20"/>
          <w:szCs w:val="20"/>
        </w:rPr>
        <w:t>the supply or delivery</w:t>
      </w:r>
      <w:r w:rsidRPr="001C0B93">
        <w:rPr>
          <w:rFonts w:ascii="Arial" w:hAnsi="Arial" w:cs="Arial"/>
          <w:kern w:val="18"/>
          <w:sz w:val="20"/>
          <w:szCs w:val="20"/>
        </w:rPr>
        <w:t xml:space="preserve"> from Russia to a third country or from one third country to another </w:t>
      </w:r>
      <w:r w:rsidRPr="001C0B93">
        <w:rPr>
          <w:rFonts w:ascii="Arial" w:hAnsi="Arial" w:cs="Arial"/>
          <w:sz w:val="20"/>
          <w:szCs w:val="20"/>
        </w:rPr>
        <w:t>of Russian Oil</w:t>
      </w:r>
      <w:r w:rsidR="00F608A9">
        <w:rPr>
          <w:rFonts w:ascii="Arial" w:hAnsi="Arial" w:cs="Arial"/>
          <w:sz w:val="20"/>
          <w:szCs w:val="20"/>
        </w:rPr>
        <w:t xml:space="preserve"> or Russian Oil Product</w:t>
      </w:r>
      <w:r w:rsidRPr="001C0B93">
        <w:rPr>
          <w:rFonts w:ascii="Arial" w:hAnsi="Arial" w:cs="Arial"/>
          <w:kern w:val="18"/>
          <w:sz w:val="20"/>
          <w:szCs w:val="20"/>
        </w:rPr>
        <w:t>.</w:t>
      </w:r>
    </w:p>
    <w:p w14:paraId="2C4B699D" w14:textId="77777777" w:rsidR="00901EFC" w:rsidRDefault="00901EFC" w:rsidP="000906A8">
      <w:pPr>
        <w:pStyle w:val="BodyTextIndentFirstLine"/>
        <w:spacing w:after="0"/>
        <w:ind w:firstLine="0"/>
        <w:jc w:val="both"/>
        <w:rPr>
          <w:rFonts w:ascii="Arial" w:hAnsi="Arial" w:cs="Arial"/>
          <w:kern w:val="18"/>
          <w:sz w:val="20"/>
          <w:szCs w:val="20"/>
        </w:rPr>
      </w:pPr>
    </w:p>
    <w:p w14:paraId="641F78AF" w14:textId="77777777" w:rsidR="000906A8" w:rsidRPr="001C0B93" w:rsidRDefault="00901EFC" w:rsidP="000906A8">
      <w:pPr>
        <w:pStyle w:val="BodyTextIndentFirstLine"/>
        <w:spacing w:after="0"/>
        <w:ind w:firstLine="0"/>
        <w:jc w:val="both"/>
        <w:rPr>
          <w:rFonts w:ascii="Arial" w:hAnsi="Arial" w:cs="Arial"/>
          <w:kern w:val="18"/>
          <w:sz w:val="20"/>
          <w:szCs w:val="20"/>
        </w:rPr>
      </w:pPr>
      <w:r>
        <w:rPr>
          <w:rFonts w:ascii="Arial" w:hAnsi="Arial" w:cs="Arial"/>
          <w:b/>
          <w:bCs/>
          <w:i/>
          <w:iCs/>
          <w:kern w:val="18"/>
          <w:sz w:val="20"/>
          <w:szCs w:val="20"/>
        </w:rPr>
        <w:t>Qualifying Voyage</w:t>
      </w:r>
      <w:r>
        <w:rPr>
          <w:rFonts w:ascii="Arial" w:hAnsi="Arial" w:cs="Arial"/>
          <w:kern w:val="18"/>
          <w:sz w:val="20"/>
          <w:szCs w:val="20"/>
        </w:rPr>
        <w:t xml:space="preserve"> means the period between the Russian Oil or the Russian Oil Product being </w:t>
      </w:r>
      <w:r w:rsidR="00FD52CC">
        <w:rPr>
          <w:rFonts w:ascii="Arial" w:hAnsi="Arial" w:cs="Arial"/>
          <w:kern w:val="18"/>
          <w:sz w:val="20"/>
          <w:szCs w:val="20"/>
        </w:rPr>
        <w:t xml:space="preserve">lifted </w:t>
      </w:r>
      <w:r w:rsidR="00D36205">
        <w:rPr>
          <w:rFonts w:ascii="Arial" w:hAnsi="Arial" w:cs="Arial"/>
          <w:kern w:val="18"/>
          <w:sz w:val="20"/>
          <w:szCs w:val="20"/>
        </w:rPr>
        <w:t xml:space="preserve">by </w:t>
      </w:r>
      <w:r w:rsidR="00FD52CC">
        <w:rPr>
          <w:rFonts w:ascii="Arial" w:hAnsi="Arial" w:cs="Arial"/>
          <w:kern w:val="18"/>
          <w:sz w:val="20"/>
          <w:szCs w:val="20"/>
        </w:rPr>
        <w:t xml:space="preserve">or </w:t>
      </w:r>
      <w:r>
        <w:rPr>
          <w:rFonts w:ascii="Arial" w:hAnsi="Arial" w:cs="Arial"/>
          <w:kern w:val="18"/>
          <w:sz w:val="20"/>
          <w:szCs w:val="20"/>
        </w:rPr>
        <w:t xml:space="preserve">loaded onto the vessel, whether at the loading port or from another vessel, or otherwise, and its discharge, whether at a discharge port or </w:t>
      </w:r>
      <w:r w:rsidR="003C488E">
        <w:rPr>
          <w:rFonts w:ascii="Arial" w:hAnsi="Arial" w:cs="Arial"/>
          <w:kern w:val="18"/>
          <w:sz w:val="20"/>
          <w:szCs w:val="20"/>
        </w:rPr>
        <w:t>on</w:t>
      </w:r>
      <w:r>
        <w:rPr>
          <w:rFonts w:ascii="Arial" w:hAnsi="Arial" w:cs="Arial"/>
          <w:kern w:val="18"/>
          <w:sz w:val="20"/>
          <w:szCs w:val="20"/>
        </w:rPr>
        <w:t>to another vessel, or otherwise.</w:t>
      </w:r>
    </w:p>
    <w:p w14:paraId="2665CACF" w14:textId="77777777" w:rsidR="000906A8" w:rsidRPr="001C0B93" w:rsidRDefault="000906A8" w:rsidP="000906A8">
      <w:pPr>
        <w:pStyle w:val="BodyTextIndentFirstLine"/>
        <w:spacing w:after="0"/>
        <w:ind w:firstLine="0"/>
        <w:jc w:val="both"/>
        <w:rPr>
          <w:rFonts w:ascii="Arial" w:hAnsi="Arial" w:cs="Arial"/>
          <w:kern w:val="18"/>
          <w:sz w:val="20"/>
          <w:szCs w:val="20"/>
        </w:rPr>
      </w:pPr>
    </w:p>
    <w:tbl>
      <w:tblPr>
        <w:tblW w:w="0" w:type="auto"/>
        <w:tblInd w:w="108" w:type="dxa"/>
        <w:tblLayout w:type="fixed"/>
        <w:tblLook w:val="0000" w:firstRow="0" w:lastRow="0" w:firstColumn="0" w:lastColumn="0" w:noHBand="0" w:noVBand="0"/>
      </w:tblPr>
      <w:tblGrid>
        <w:gridCol w:w="4320"/>
        <w:gridCol w:w="4500"/>
      </w:tblGrid>
      <w:tr w:rsidR="003F5E5C" w:rsidRPr="001C0B93" w14:paraId="0845E51C" w14:textId="77777777">
        <w:tc>
          <w:tcPr>
            <w:tcW w:w="4320" w:type="dxa"/>
          </w:tcPr>
          <w:p w14:paraId="2A223CFE" w14:textId="77777777" w:rsidR="003F5E5C" w:rsidRDefault="003F5E5C" w:rsidP="000906A8">
            <w:pPr>
              <w:rPr>
                <w:rFonts w:ascii="Arial" w:hAnsi="Arial" w:cs="Arial"/>
                <w:sz w:val="20"/>
                <w:szCs w:val="20"/>
              </w:rPr>
            </w:pPr>
          </w:p>
          <w:p w14:paraId="7E8AB549" w14:textId="77777777" w:rsidR="00CB271C" w:rsidRDefault="00CB271C" w:rsidP="000906A8">
            <w:pPr>
              <w:rPr>
                <w:rFonts w:ascii="Arial" w:hAnsi="Arial" w:cs="Arial"/>
                <w:sz w:val="20"/>
                <w:szCs w:val="20"/>
              </w:rPr>
            </w:pPr>
          </w:p>
          <w:p w14:paraId="2A59A9A2" w14:textId="77777777" w:rsidR="00CB271C" w:rsidRDefault="00CB271C" w:rsidP="000906A8">
            <w:pPr>
              <w:rPr>
                <w:rFonts w:ascii="Arial" w:hAnsi="Arial" w:cs="Arial"/>
                <w:sz w:val="20"/>
                <w:szCs w:val="20"/>
              </w:rPr>
            </w:pPr>
          </w:p>
          <w:p w14:paraId="4CCD65EC" w14:textId="77777777" w:rsidR="00CB271C" w:rsidRDefault="00CB271C" w:rsidP="000906A8">
            <w:pPr>
              <w:rPr>
                <w:rFonts w:ascii="Arial" w:hAnsi="Arial" w:cs="Arial"/>
                <w:sz w:val="20"/>
                <w:szCs w:val="20"/>
              </w:rPr>
            </w:pPr>
          </w:p>
          <w:p w14:paraId="7ECBDFCE" w14:textId="77777777" w:rsidR="00CB271C" w:rsidRPr="001C0B93" w:rsidRDefault="00CB271C" w:rsidP="000906A8">
            <w:pPr>
              <w:rPr>
                <w:rFonts w:ascii="Arial" w:hAnsi="Arial" w:cs="Arial"/>
                <w:sz w:val="20"/>
                <w:szCs w:val="20"/>
              </w:rPr>
            </w:pPr>
          </w:p>
          <w:p w14:paraId="6E55D034" w14:textId="77777777" w:rsidR="003F5E5C" w:rsidRPr="001C0B93" w:rsidRDefault="003F5E5C" w:rsidP="000906A8">
            <w:pPr>
              <w:rPr>
                <w:rFonts w:ascii="Arial" w:hAnsi="Arial" w:cs="Arial"/>
                <w:sz w:val="20"/>
                <w:szCs w:val="20"/>
              </w:rPr>
            </w:pPr>
            <w:r w:rsidRPr="001C0B93">
              <w:rPr>
                <w:rFonts w:ascii="Arial" w:hAnsi="Arial" w:cs="Arial"/>
                <w:sz w:val="20"/>
                <w:szCs w:val="20"/>
              </w:rPr>
              <w:t xml:space="preserve">_________________________ </w:t>
            </w:r>
          </w:p>
        </w:tc>
        <w:tc>
          <w:tcPr>
            <w:tcW w:w="4500" w:type="dxa"/>
          </w:tcPr>
          <w:p w14:paraId="6D214A28" w14:textId="77777777" w:rsidR="003F5E5C" w:rsidRDefault="003F5E5C" w:rsidP="000906A8">
            <w:pPr>
              <w:rPr>
                <w:rFonts w:ascii="Arial" w:hAnsi="Arial" w:cs="Arial"/>
                <w:sz w:val="20"/>
                <w:szCs w:val="20"/>
              </w:rPr>
            </w:pPr>
          </w:p>
          <w:p w14:paraId="3126D6B2" w14:textId="77777777" w:rsidR="00CB271C" w:rsidRDefault="00CB271C" w:rsidP="000906A8">
            <w:pPr>
              <w:rPr>
                <w:rFonts w:ascii="Arial" w:hAnsi="Arial" w:cs="Arial"/>
                <w:sz w:val="20"/>
                <w:szCs w:val="20"/>
              </w:rPr>
            </w:pPr>
          </w:p>
          <w:p w14:paraId="3A072F60" w14:textId="77777777" w:rsidR="00AA5D20" w:rsidRDefault="00AA5D20" w:rsidP="000906A8">
            <w:pPr>
              <w:rPr>
                <w:rFonts w:ascii="Arial" w:hAnsi="Arial" w:cs="Arial"/>
                <w:sz w:val="20"/>
                <w:szCs w:val="20"/>
              </w:rPr>
            </w:pPr>
          </w:p>
          <w:p w14:paraId="40B13F01" w14:textId="77777777" w:rsidR="00AA5D20" w:rsidRDefault="00AA5D20" w:rsidP="000906A8">
            <w:pPr>
              <w:rPr>
                <w:rFonts w:ascii="Arial" w:hAnsi="Arial" w:cs="Arial"/>
                <w:sz w:val="20"/>
                <w:szCs w:val="20"/>
              </w:rPr>
            </w:pPr>
          </w:p>
          <w:p w14:paraId="6ACAEDFD" w14:textId="77777777" w:rsidR="00CB271C" w:rsidRPr="001C0B93" w:rsidRDefault="00CB271C" w:rsidP="000906A8">
            <w:pPr>
              <w:rPr>
                <w:rFonts w:ascii="Arial" w:hAnsi="Arial" w:cs="Arial"/>
                <w:sz w:val="20"/>
                <w:szCs w:val="20"/>
              </w:rPr>
            </w:pPr>
          </w:p>
          <w:p w14:paraId="061900F2" w14:textId="77777777" w:rsidR="003F5E5C" w:rsidRPr="001C0B93" w:rsidRDefault="003F5E5C" w:rsidP="000906A8">
            <w:pPr>
              <w:rPr>
                <w:rFonts w:ascii="Arial" w:hAnsi="Arial" w:cs="Arial"/>
                <w:sz w:val="20"/>
                <w:szCs w:val="20"/>
              </w:rPr>
            </w:pPr>
            <w:r w:rsidRPr="001C0B93">
              <w:rPr>
                <w:rFonts w:ascii="Arial" w:hAnsi="Arial" w:cs="Arial"/>
                <w:sz w:val="20"/>
                <w:szCs w:val="20"/>
              </w:rPr>
              <w:t>___________________________</w:t>
            </w:r>
          </w:p>
        </w:tc>
      </w:tr>
      <w:tr w:rsidR="003F5E5C" w:rsidRPr="001C0B93" w14:paraId="1B80BF28" w14:textId="77777777">
        <w:tc>
          <w:tcPr>
            <w:tcW w:w="4320" w:type="dxa"/>
          </w:tcPr>
          <w:p w14:paraId="7C73288D" w14:textId="77777777" w:rsidR="003F5E5C" w:rsidRPr="001C0B93" w:rsidRDefault="003F5E5C">
            <w:pPr>
              <w:rPr>
                <w:rFonts w:ascii="Arial" w:hAnsi="Arial" w:cs="Arial"/>
                <w:sz w:val="20"/>
                <w:szCs w:val="20"/>
              </w:rPr>
            </w:pPr>
            <w:r w:rsidRPr="001C0B93">
              <w:rPr>
                <w:rFonts w:ascii="Arial" w:hAnsi="Arial" w:cs="Arial"/>
                <w:sz w:val="20"/>
                <w:szCs w:val="20"/>
              </w:rPr>
              <w:lastRenderedPageBreak/>
              <w:t>Policyholder/Applicant’s Signature</w:t>
            </w:r>
          </w:p>
        </w:tc>
        <w:tc>
          <w:tcPr>
            <w:tcW w:w="4500" w:type="dxa"/>
          </w:tcPr>
          <w:p w14:paraId="68E7B111" w14:textId="77777777" w:rsidR="003F5E5C" w:rsidRPr="001C0B93" w:rsidRDefault="003F5E5C">
            <w:pPr>
              <w:rPr>
                <w:rFonts w:ascii="Arial" w:hAnsi="Arial" w:cs="Arial"/>
                <w:sz w:val="20"/>
                <w:szCs w:val="20"/>
              </w:rPr>
            </w:pPr>
            <w:r w:rsidRPr="001C0B93">
              <w:rPr>
                <w:rFonts w:ascii="Arial" w:hAnsi="Arial" w:cs="Arial"/>
                <w:sz w:val="20"/>
                <w:szCs w:val="20"/>
              </w:rPr>
              <w:t>On behalf of certain underwriters at Lloyd’s</w:t>
            </w:r>
          </w:p>
        </w:tc>
      </w:tr>
      <w:tr w:rsidR="003F5E5C" w:rsidRPr="001C0B93" w14:paraId="5866F68D" w14:textId="77777777">
        <w:tc>
          <w:tcPr>
            <w:tcW w:w="4320" w:type="dxa"/>
          </w:tcPr>
          <w:p w14:paraId="35321D2D" w14:textId="77777777" w:rsidR="003F5E5C" w:rsidRPr="001C0B93" w:rsidRDefault="003F5E5C">
            <w:pPr>
              <w:rPr>
                <w:rFonts w:ascii="Arial" w:hAnsi="Arial" w:cs="Arial"/>
                <w:sz w:val="20"/>
                <w:szCs w:val="20"/>
              </w:rPr>
            </w:pPr>
          </w:p>
          <w:p w14:paraId="5E96114D" w14:textId="77777777" w:rsidR="003F5E5C" w:rsidRPr="001C0B93" w:rsidRDefault="003F5E5C">
            <w:pPr>
              <w:rPr>
                <w:rFonts w:ascii="Arial" w:hAnsi="Arial" w:cs="Arial"/>
                <w:sz w:val="20"/>
                <w:szCs w:val="20"/>
              </w:rPr>
            </w:pPr>
            <w:r w:rsidRPr="001C0B93">
              <w:rPr>
                <w:rFonts w:ascii="Arial" w:hAnsi="Arial" w:cs="Arial"/>
                <w:sz w:val="20"/>
                <w:szCs w:val="20"/>
              </w:rPr>
              <w:t>_________________________</w:t>
            </w:r>
          </w:p>
        </w:tc>
        <w:tc>
          <w:tcPr>
            <w:tcW w:w="4500" w:type="dxa"/>
          </w:tcPr>
          <w:p w14:paraId="3E229B87" w14:textId="77777777" w:rsidR="003F5E5C" w:rsidRPr="001C0B93" w:rsidRDefault="003F5E5C">
            <w:pPr>
              <w:rPr>
                <w:rFonts w:ascii="Arial" w:hAnsi="Arial" w:cs="Arial"/>
                <w:sz w:val="20"/>
                <w:szCs w:val="20"/>
              </w:rPr>
            </w:pPr>
          </w:p>
          <w:p w14:paraId="50B55ABD" w14:textId="77777777" w:rsidR="003F5E5C" w:rsidRPr="001C0B93" w:rsidRDefault="003F5E5C">
            <w:pPr>
              <w:rPr>
                <w:rFonts w:ascii="Arial" w:hAnsi="Arial" w:cs="Arial"/>
                <w:sz w:val="20"/>
                <w:szCs w:val="20"/>
              </w:rPr>
            </w:pPr>
            <w:r w:rsidRPr="001C0B93">
              <w:rPr>
                <w:rFonts w:ascii="Arial" w:hAnsi="Arial" w:cs="Arial"/>
                <w:sz w:val="20"/>
                <w:szCs w:val="20"/>
              </w:rPr>
              <w:t>___________________________</w:t>
            </w:r>
          </w:p>
        </w:tc>
      </w:tr>
      <w:tr w:rsidR="003F5E5C" w:rsidRPr="001C0B93" w14:paraId="0F838E43" w14:textId="77777777">
        <w:tc>
          <w:tcPr>
            <w:tcW w:w="4320" w:type="dxa"/>
          </w:tcPr>
          <w:p w14:paraId="010D5CAA" w14:textId="77777777" w:rsidR="003F5E5C" w:rsidRPr="001C0B93" w:rsidRDefault="003F5E5C">
            <w:pPr>
              <w:rPr>
                <w:rFonts w:ascii="Arial" w:hAnsi="Arial" w:cs="Arial"/>
                <w:sz w:val="20"/>
                <w:szCs w:val="20"/>
              </w:rPr>
            </w:pPr>
            <w:r w:rsidRPr="001C0B93">
              <w:rPr>
                <w:rFonts w:ascii="Arial" w:hAnsi="Arial" w:cs="Arial"/>
                <w:sz w:val="20"/>
                <w:szCs w:val="20"/>
              </w:rPr>
              <w:t>Print Name</w:t>
            </w:r>
          </w:p>
          <w:p w14:paraId="78A88646" w14:textId="77777777" w:rsidR="000906A8" w:rsidRPr="001C0B93" w:rsidRDefault="000906A8">
            <w:pPr>
              <w:rPr>
                <w:rFonts w:ascii="Arial" w:hAnsi="Arial" w:cs="Arial"/>
                <w:sz w:val="20"/>
                <w:szCs w:val="20"/>
              </w:rPr>
            </w:pPr>
          </w:p>
        </w:tc>
        <w:tc>
          <w:tcPr>
            <w:tcW w:w="4500" w:type="dxa"/>
          </w:tcPr>
          <w:p w14:paraId="74342530" w14:textId="77777777" w:rsidR="003F5E5C" w:rsidRPr="001C0B93" w:rsidRDefault="003F5E5C">
            <w:pPr>
              <w:rPr>
                <w:rFonts w:ascii="Arial" w:hAnsi="Arial" w:cs="Arial"/>
                <w:sz w:val="20"/>
                <w:szCs w:val="20"/>
              </w:rPr>
            </w:pPr>
            <w:r w:rsidRPr="001C0B93">
              <w:rPr>
                <w:rFonts w:ascii="Arial" w:hAnsi="Arial" w:cs="Arial"/>
                <w:sz w:val="20"/>
                <w:szCs w:val="20"/>
              </w:rPr>
              <w:t>Policy Number</w:t>
            </w:r>
          </w:p>
        </w:tc>
      </w:tr>
      <w:tr w:rsidR="003F5E5C" w:rsidRPr="001C0B93" w14:paraId="252CBB8B" w14:textId="77777777">
        <w:tc>
          <w:tcPr>
            <w:tcW w:w="4320" w:type="dxa"/>
          </w:tcPr>
          <w:p w14:paraId="44F56280" w14:textId="77777777" w:rsidR="003F5E5C" w:rsidRPr="001C0B93" w:rsidRDefault="003F5E5C">
            <w:pPr>
              <w:rPr>
                <w:rFonts w:ascii="Arial" w:hAnsi="Arial" w:cs="Arial"/>
                <w:sz w:val="20"/>
                <w:szCs w:val="20"/>
              </w:rPr>
            </w:pPr>
            <w:r w:rsidRPr="001C0B93">
              <w:rPr>
                <w:rFonts w:ascii="Arial" w:hAnsi="Arial" w:cs="Arial"/>
                <w:sz w:val="20"/>
                <w:szCs w:val="20"/>
              </w:rPr>
              <w:t>_________________________</w:t>
            </w:r>
          </w:p>
        </w:tc>
        <w:tc>
          <w:tcPr>
            <w:tcW w:w="4500" w:type="dxa"/>
          </w:tcPr>
          <w:p w14:paraId="14D0B141" w14:textId="77777777" w:rsidR="003F5E5C" w:rsidRPr="001C0B93" w:rsidRDefault="003F5E5C">
            <w:pPr>
              <w:rPr>
                <w:rFonts w:ascii="Arial" w:hAnsi="Arial" w:cs="Arial"/>
                <w:sz w:val="20"/>
                <w:szCs w:val="20"/>
              </w:rPr>
            </w:pPr>
          </w:p>
        </w:tc>
      </w:tr>
      <w:tr w:rsidR="003F5E5C" w:rsidRPr="001C0B93" w14:paraId="55614328" w14:textId="77777777">
        <w:tc>
          <w:tcPr>
            <w:tcW w:w="4320" w:type="dxa"/>
          </w:tcPr>
          <w:p w14:paraId="40238E6D" w14:textId="77777777" w:rsidR="003F5E5C" w:rsidRPr="001C0B93" w:rsidRDefault="003F5E5C">
            <w:pPr>
              <w:rPr>
                <w:rFonts w:ascii="Arial" w:hAnsi="Arial" w:cs="Arial"/>
                <w:sz w:val="20"/>
                <w:szCs w:val="20"/>
              </w:rPr>
            </w:pPr>
            <w:r w:rsidRPr="001C0B93">
              <w:rPr>
                <w:rFonts w:ascii="Arial" w:hAnsi="Arial" w:cs="Arial"/>
                <w:sz w:val="20"/>
                <w:szCs w:val="20"/>
              </w:rPr>
              <w:t>Date</w:t>
            </w:r>
          </w:p>
        </w:tc>
        <w:tc>
          <w:tcPr>
            <w:tcW w:w="4500" w:type="dxa"/>
          </w:tcPr>
          <w:p w14:paraId="2F1BB7A7" w14:textId="77777777" w:rsidR="003F5E5C" w:rsidRPr="001C0B93" w:rsidRDefault="003F5E5C">
            <w:pPr>
              <w:rPr>
                <w:rFonts w:ascii="Arial" w:hAnsi="Arial" w:cs="Arial"/>
                <w:sz w:val="20"/>
                <w:szCs w:val="20"/>
              </w:rPr>
            </w:pPr>
          </w:p>
        </w:tc>
      </w:tr>
    </w:tbl>
    <w:p w14:paraId="0F5A25EF" w14:textId="77777777" w:rsidR="003F5E5C" w:rsidRPr="001C0B93" w:rsidRDefault="003F5E5C">
      <w:pPr>
        <w:ind w:left="-720" w:firstLine="720"/>
        <w:rPr>
          <w:rFonts w:ascii="Arial" w:hAnsi="Arial" w:cs="Arial"/>
          <w:sz w:val="20"/>
          <w:szCs w:val="20"/>
        </w:rPr>
      </w:pPr>
    </w:p>
    <w:p w14:paraId="106DF17B" w14:textId="77777777" w:rsidR="000906A8" w:rsidRPr="001C0B93" w:rsidRDefault="000906A8">
      <w:pPr>
        <w:rPr>
          <w:rFonts w:ascii="Arial" w:hAnsi="Arial" w:cs="Arial"/>
          <w:sz w:val="20"/>
          <w:szCs w:val="20"/>
        </w:rPr>
      </w:pPr>
    </w:p>
    <w:p w14:paraId="64D5C33D" w14:textId="77777777" w:rsidR="003F5E5C" w:rsidRPr="001C0B93" w:rsidRDefault="003F5E5C">
      <w:pPr>
        <w:rPr>
          <w:rFonts w:ascii="Arial" w:hAnsi="Arial" w:cs="Arial"/>
          <w:sz w:val="20"/>
          <w:szCs w:val="20"/>
        </w:rPr>
      </w:pPr>
      <w:r w:rsidRPr="001C0B93">
        <w:rPr>
          <w:rFonts w:ascii="Arial" w:hAnsi="Arial" w:cs="Arial"/>
          <w:sz w:val="20"/>
          <w:szCs w:val="20"/>
        </w:rPr>
        <w:t>cc:</w:t>
      </w:r>
      <w:r w:rsidRPr="001C0B93">
        <w:rPr>
          <w:rFonts w:ascii="Arial" w:hAnsi="Arial" w:cs="Arial"/>
          <w:sz w:val="20"/>
          <w:szCs w:val="20"/>
        </w:rPr>
        <w:tab/>
        <w:t>Placing Broker [if Notice is provided direct</w:t>
      </w:r>
      <w:r w:rsidR="00CB7B18">
        <w:rPr>
          <w:rFonts w:ascii="Arial" w:hAnsi="Arial" w:cs="Arial"/>
          <w:sz w:val="20"/>
          <w:szCs w:val="20"/>
        </w:rPr>
        <w:t>ly</w:t>
      </w:r>
      <w:r w:rsidRPr="001C0B93">
        <w:rPr>
          <w:rFonts w:ascii="Arial" w:hAnsi="Arial" w:cs="Arial"/>
          <w:sz w:val="20"/>
          <w:szCs w:val="20"/>
        </w:rPr>
        <w:t xml:space="preserve"> to Insurer]</w:t>
      </w:r>
    </w:p>
    <w:sectPr w:rsidR="003F5E5C" w:rsidRPr="001C0B93" w:rsidSect="00426CBF">
      <w:footerReference w:type="default" r:id="rId12"/>
      <w:type w:val="continuous"/>
      <w:pgSz w:w="12240" w:h="15840"/>
      <w:pgMar w:top="1276" w:right="1440"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BBCAF" w14:textId="77777777" w:rsidR="00680F96" w:rsidRDefault="00680F96">
      <w:r>
        <w:separator/>
      </w:r>
    </w:p>
  </w:endnote>
  <w:endnote w:type="continuationSeparator" w:id="0">
    <w:p w14:paraId="1597E336" w14:textId="77777777" w:rsidR="00680F96" w:rsidRDefault="00680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DA61B" w14:textId="3DC34CB7" w:rsidR="0071497F" w:rsidRPr="00EB75E1" w:rsidRDefault="00EB75E1" w:rsidP="00EB75E1">
    <w:pPr>
      <w:pStyle w:val="Footer"/>
      <w:rPr>
        <w:rFonts w:ascii="Arial" w:hAnsi="Arial" w:cs="Arial"/>
        <w:sz w:val="20"/>
        <w:szCs w:val="20"/>
      </w:rPr>
    </w:pPr>
    <w:r w:rsidRPr="007137D0">
      <w:rPr>
        <w:rFonts w:ascii="Arial" w:hAnsi="Arial" w:cs="Arial"/>
        <w:sz w:val="20"/>
        <w:szCs w:val="20"/>
      </w:rPr>
      <w:t>LMA56</w:t>
    </w:r>
    <w:r w:rsidR="007137D0" w:rsidRPr="007137D0">
      <w:rPr>
        <w:rFonts w:ascii="Arial" w:hAnsi="Arial" w:cs="Arial"/>
        <w:sz w:val="20"/>
        <w:szCs w:val="20"/>
      </w:rPr>
      <w:t>51</w:t>
    </w:r>
    <w:r w:rsidR="001C54F0" w:rsidRPr="007137D0">
      <w:rPr>
        <w:rFonts w:ascii="Arial" w:hAnsi="Arial" w:cs="Arial"/>
        <w:sz w:val="20"/>
        <w:szCs w:val="20"/>
      </w:rPr>
      <w:t xml:space="preserve"> </w:t>
    </w:r>
    <w:r w:rsidR="00823E49">
      <w:rPr>
        <w:rFonts w:ascii="Arial" w:hAnsi="Arial" w:cs="Arial"/>
        <w:sz w:val="20"/>
        <w:szCs w:val="20"/>
      </w:rPr>
      <w:t>7</w:t>
    </w:r>
    <w:r w:rsidRPr="007137D0">
      <w:rPr>
        <w:rFonts w:ascii="Arial" w:hAnsi="Arial" w:cs="Arial"/>
        <w:sz w:val="20"/>
        <w:szCs w:val="20"/>
        <w:vertAlign w:val="superscript"/>
      </w:rPr>
      <w:t>th</w:t>
    </w:r>
    <w:r w:rsidRPr="007137D0">
      <w:rPr>
        <w:rFonts w:ascii="Arial" w:hAnsi="Arial" w:cs="Arial"/>
        <w:sz w:val="20"/>
        <w:szCs w:val="20"/>
      </w:rPr>
      <w:t xml:space="preserve"> </w:t>
    </w:r>
    <w:r w:rsidR="00EF364E" w:rsidRPr="007137D0">
      <w:rPr>
        <w:rFonts w:ascii="Arial" w:hAnsi="Arial" w:cs="Arial"/>
        <w:sz w:val="20"/>
        <w:szCs w:val="20"/>
      </w:rPr>
      <w:t>June</w:t>
    </w:r>
    <w:r w:rsidRPr="007137D0">
      <w:rPr>
        <w:rFonts w:ascii="Arial" w:hAnsi="Arial" w:cs="Arial"/>
        <w:sz w:val="20"/>
        <w:szCs w:val="20"/>
      </w:rPr>
      <w:t xml:space="preserve"> 2024</w:t>
    </w:r>
    <w:r>
      <w:t xml:space="preserve"> </w:t>
    </w:r>
    <w:r w:rsidRPr="00EB75E1">
      <w:rPr>
        <w:rFonts w:ascii="Arial" w:hAnsi="Arial" w:cs="Arial"/>
        <w:sz w:val="20"/>
        <w:szCs w:val="20"/>
      </w:rPr>
      <w:tab/>
    </w:r>
    <w:r w:rsidR="0071497F" w:rsidRPr="00EB75E1">
      <w:rPr>
        <w:rFonts w:ascii="Arial" w:hAnsi="Arial" w:cs="Arial"/>
        <w:sz w:val="20"/>
        <w:szCs w:val="20"/>
      </w:rPr>
      <w:fldChar w:fldCharType="begin"/>
    </w:r>
    <w:r w:rsidR="0071497F" w:rsidRPr="00EB75E1">
      <w:rPr>
        <w:rFonts w:ascii="Arial" w:hAnsi="Arial" w:cs="Arial"/>
        <w:sz w:val="20"/>
        <w:szCs w:val="20"/>
      </w:rPr>
      <w:instrText xml:space="preserve"> PAGE   \* MERGEFORMAT </w:instrText>
    </w:r>
    <w:r w:rsidR="0071497F" w:rsidRPr="00EB75E1">
      <w:rPr>
        <w:rFonts w:ascii="Arial" w:hAnsi="Arial" w:cs="Arial"/>
        <w:sz w:val="20"/>
        <w:szCs w:val="20"/>
      </w:rPr>
      <w:fldChar w:fldCharType="separate"/>
    </w:r>
    <w:r w:rsidR="0071497F" w:rsidRPr="00EB75E1">
      <w:rPr>
        <w:rFonts w:ascii="Arial" w:hAnsi="Arial" w:cs="Arial"/>
        <w:noProof/>
        <w:sz w:val="20"/>
        <w:szCs w:val="20"/>
      </w:rPr>
      <w:t>2</w:t>
    </w:r>
    <w:r w:rsidR="0071497F" w:rsidRPr="00EB75E1">
      <w:rPr>
        <w:rFonts w:ascii="Arial" w:hAnsi="Arial" w:cs="Arial"/>
        <w:noProof/>
        <w:sz w:val="20"/>
        <w:szCs w:val="20"/>
      </w:rPr>
      <w:fldChar w:fldCharType="end"/>
    </w:r>
  </w:p>
  <w:p w14:paraId="4C1A13A7" w14:textId="77777777" w:rsidR="003F5E5C" w:rsidRDefault="003F5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B61D3" w14:textId="77777777" w:rsidR="00680F96" w:rsidRDefault="00680F96">
      <w:r>
        <w:separator/>
      </w:r>
    </w:p>
  </w:footnote>
  <w:footnote w:type="continuationSeparator" w:id="0">
    <w:p w14:paraId="52CAAF79" w14:textId="77777777" w:rsidR="00680F96" w:rsidRDefault="00680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A2C92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57492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B4E8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440FE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FC44C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247C5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E38BF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966A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665870"/>
    <w:lvl w:ilvl="0">
      <w:start w:val="1"/>
      <w:numFmt w:val="decimal"/>
      <w:pStyle w:val="ListNumber"/>
      <w:lvlText w:val="%1."/>
      <w:lvlJc w:val="left"/>
      <w:pPr>
        <w:tabs>
          <w:tab w:val="num" w:pos="1440"/>
        </w:tabs>
        <w:ind w:left="1440" w:hanging="720"/>
      </w:pPr>
      <w:rPr>
        <w:rFonts w:hint="default"/>
      </w:rPr>
    </w:lvl>
  </w:abstractNum>
  <w:abstractNum w:abstractNumId="9" w15:restartNumberingAfterBreak="0">
    <w:nsid w:val="FFFFFF89"/>
    <w:multiLevelType w:val="singleLevel"/>
    <w:tmpl w:val="4CE6A37E"/>
    <w:lvl w:ilvl="0">
      <w:start w:val="1"/>
      <w:numFmt w:val="bullet"/>
      <w:pStyle w:val="ListBullet"/>
      <w:lvlText w:val=""/>
      <w:lvlJc w:val="left"/>
      <w:pPr>
        <w:tabs>
          <w:tab w:val="num" w:pos="1440"/>
        </w:tabs>
        <w:ind w:left="1440" w:hanging="720"/>
      </w:pPr>
      <w:rPr>
        <w:rFonts w:ascii="Symbol" w:hAnsi="Symbol" w:hint="default"/>
      </w:rPr>
    </w:lvl>
  </w:abstractNum>
  <w:abstractNum w:abstractNumId="10" w15:restartNumberingAfterBreak="0">
    <w:nsid w:val="08804CF1"/>
    <w:multiLevelType w:val="multilevel"/>
    <w:tmpl w:val="23806438"/>
    <w:lvl w:ilvl="0">
      <w:start w:val="1"/>
      <w:numFmt w:val="upperRoman"/>
      <w:lvlText w:val="%1."/>
      <w:lvlJc w:val="left"/>
      <w:pPr>
        <w:tabs>
          <w:tab w:val="num" w:pos="0"/>
        </w:tabs>
        <w:ind w:left="72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0EB72703"/>
    <w:multiLevelType w:val="hybridMultilevel"/>
    <w:tmpl w:val="C0589876"/>
    <w:lvl w:ilvl="0" w:tplc="FFFFFFFF">
      <w:start w:val="1"/>
      <w:numFmt w:val="decimal"/>
      <w:lvlText w:val="%1."/>
      <w:lvlJc w:val="left"/>
      <w:pPr>
        <w:tabs>
          <w:tab w:val="num" w:pos="2160"/>
        </w:tabs>
        <w:ind w:left="2160" w:hanging="360"/>
      </w:pPr>
    </w:lvl>
    <w:lvl w:ilvl="1" w:tplc="FFFFFFFF" w:tentative="1">
      <w:start w:val="1"/>
      <w:numFmt w:val="low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12" w15:restartNumberingAfterBreak="0">
    <w:nsid w:val="0F723D8C"/>
    <w:multiLevelType w:val="multilevel"/>
    <w:tmpl w:val="8B78E93C"/>
    <w:lvl w:ilvl="0">
      <w:start w:val="1"/>
      <w:numFmt w:val="upperRoman"/>
      <w:pStyle w:val="Heading1"/>
      <w:lvlText w:val="%1."/>
      <w:lvlJc w:val="left"/>
      <w:pPr>
        <w:tabs>
          <w:tab w:val="num" w:pos="0"/>
        </w:tabs>
        <w:ind w:left="720" w:hanging="720"/>
      </w:pPr>
      <w:rPr>
        <w:b/>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Heading2"/>
      <w:suff w:val="nothing"/>
      <w:lvlText w:val=""/>
      <w:lvlJc w:val="left"/>
      <w:pPr>
        <w:tabs>
          <w:tab w:val="num" w:pos="1080"/>
        </w:tabs>
        <w:ind w:left="720" w:firstLine="0"/>
      </w:pPr>
    </w:lvl>
    <w:lvl w:ilvl="2">
      <w:start w:val="1"/>
      <w:numFmt w:val="none"/>
      <w:pStyle w:val="Heading3"/>
      <w:suff w:val="nothing"/>
      <w:lvlText w:val=""/>
      <w:lvlJc w:val="left"/>
      <w:pPr>
        <w:tabs>
          <w:tab w:val="num" w:pos="1800"/>
        </w:tabs>
        <w:ind w:left="1440" w:firstLine="0"/>
      </w:pPr>
    </w:lvl>
    <w:lvl w:ilvl="3">
      <w:start w:val="1"/>
      <w:numFmt w:val="none"/>
      <w:pStyle w:val="Heading4"/>
      <w:suff w:val="nothing"/>
      <w:lvlText w:val=""/>
      <w:lvlJc w:val="left"/>
      <w:pPr>
        <w:tabs>
          <w:tab w:val="num" w:pos="2520"/>
        </w:tabs>
        <w:ind w:left="2160" w:firstLine="0"/>
      </w:pPr>
    </w:lvl>
    <w:lvl w:ilvl="4">
      <w:start w:val="1"/>
      <w:numFmt w:val="none"/>
      <w:pStyle w:val="Heading5"/>
      <w:suff w:val="nothing"/>
      <w:lvlText w:val=""/>
      <w:lvlJc w:val="left"/>
      <w:pPr>
        <w:tabs>
          <w:tab w:val="num" w:pos="3240"/>
        </w:tabs>
        <w:ind w:left="2880" w:firstLine="0"/>
      </w:pPr>
    </w:lvl>
    <w:lvl w:ilvl="5">
      <w:start w:val="1"/>
      <w:numFmt w:val="none"/>
      <w:pStyle w:val="Heading6"/>
      <w:suff w:val="nothing"/>
      <w:lvlText w:val=""/>
      <w:lvlJc w:val="left"/>
      <w:pPr>
        <w:tabs>
          <w:tab w:val="num" w:pos="3960"/>
        </w:tabs>
        <w:ind w:left="3600" w:firstLine="0"/>
      </w:pPr>
    </w:lvl>
    <w:lvl w:ilvl="6">
      <w:start w:val="1"/>
      <w:numFmt w:val="none"/>
      <w:pStyle w:val="Heading7"/>
      <w:suff w:val="nothing"/>
      <w:lvlText w:val=""/>
      <w:lvlJc w:val="left"/>
      <w:pPr>
        <w:tabs>
          <w:tab w:val="num" w:pos="4680"/>
        </w:tabs>
        <w:ind w:left="4320" w:firstLine="0"/>
      </w:pPr>
    </w:lvl>
    <w:lvl w:ilvl="7">
      <w:start w:val="1"/>
      <w:numFmt w:val="none"/>
      <w:pStyle w:val="Heading8"/>
      <w:suff w:val="nothing"/>
      <w:lvlText w:val=""/>
      <w:lvlJc w:val="left"/>
      <w:pPr>
        <w:tabs>
          <w:tab w:val="num" w:pos="5400"/>
        </w:tabs>
        <w:ind w:left="5040" w:firstLine="0"/>
      </w:pPr>
    </w:lvl>
    <w:lvl w:ilvl="8">
      <w:start w:val="1"/>
      <w:numFmt w:val="none"/>
      <w:pStyle w:val="Heading9"/>
      <w:suff w:val="nothing"/>
      <w:lvlText w:val=""/>
      <w:lvlJc w:val="left"/>
      <w:pPr>
        <w:tabs>
          <w:tab w:val="num" w:pos="6120"/>
        </w:tabs>
        <w:ind w:left="5760" w:firstLine="0"/>
      </w:pPr>
    </w:lvl>
  </w:abstractNum>
  <w:abstractNum w:abstractNumId="13" w15:restartNumberingAfterBreak="0">
    <w:nsid w:val="12520E7F"/>
    <w:multiLevelType w:val="hybridMultilevel"/>
    <w:tmpl w:val="A080F674"/>
    <w:lvl w:ilvl="0" w:tplc="FFFFFFFF">
      <w:start w:val="1"/>
      <w:numFmt w:val="bullet"/>
      <w:lvlText w:val=""/>
      <w:lvlJc w:val="left"/>
      <w:pPr>
        <w:ind w:left="784" w:hanging="360"/>
      </w:pPr>
      <w:rPr>
        <w:rFonts w:ascii="Symbol" w:hAnsi="Symbol" w:hint="default"/>
      </w:rPr>
    </w:lvl>
    <w:lvl w:ilvl="1" w:tplc="FFFFFFFF" w:tentative="1">
      <w:start w:val="1"/>
      <w:numFmt w:val="bullet"/>
      <w:lvlText w:val="o"/>
      <w:lvlJc w:val="left"/>
      <w:pPr>
        <w:ind w:left="1504" w:hanging="360"/>
      </w:pPr>
      <w:rPr>
        <w:rFonts w:ascii="Courier New" w:hAnsi="Courier New" w:cs="Courier New" w:hint="default"/>
      </w:rPr>
    </w:lvl>
    <w:lvl w:ilvl="2" w:tplc="FFFFFFFF" w:tentative="1">
      <w:start w:val="1"/>
      <w:numFmt w:val="bullet"/>
      <w:lvlText w:val=""/>
      <w:lvlJc w:val="left"/>
      <w:pPr>
        <w:ind w:left="2224" w:hanging="360"/>
      </w:pPr>
      <w:rPr>
        <w:rFonts w:ascii="Wingdings" w:hAnsi="Wingdings" w:hint="default"/>
      </w:rPr>
    </w:lvl>
    <w:lvl w:ilvl="3" w:tplc="FFFFFFFF" w:tentative="1">
      <w:start w:val="1"/>
      <w:numFmt w:val="bullet"/>
      <w:lvlText w:val=""/>
      <w:lvlJc w:val="left"/>
      <w:pPr>
        <w:ind w:left="2944" w:hanging="360"/>
      </w:pPr>
      <w:rPr>
        <w:rFonts w:ascii="Symbol" w:hAnsi="Symbol" w:hint="default"/>
      </w:rPr>
    </w:lvl>
    <w:lvl w:ilvl="4" w:tplc="FFFFFFFF" w:tentative="1">
      <w:start w:val="1"/>
      <w:numFmt w:val="bullet"/>
      <w:lvlText w:val="o"/>
      <w:lvlJc w:val="left"/>
      <w:pPr>
        <w:ind w:left="3664" w:hanging="360"/>
      </w:pPr>
      <w:rPr>
        <w:rFonts w:ascii="Courier New" w:hAnsi="Courier New" w:cs="Courier New" w:hint="default"/>
      </w:rPr>
    </w:lvl>
    <w:lvl w:ilvl="5" w:tplc="FFFFFFFF" w:tentative="1">
      <w:start w:val="1"/>
      <w:numFmt w:val="bullet"/>
      <w:lvlText w:val=""/>
      <w:lvlJc w:val="left"/>
      <w:pPr>
        <w:ind w:left="4384" w:hanging="360"/>
      </w:pPr>
      <w:rPr>
        <w:rFonts w:ascii="Wingdings" w:hAnsi="Wingdings" w:hint="default"/>
      </w:rPr>
    </w:lvl>
    <w:lvl w:ilvl="6" w:tplc="FFFFFFFF" w:tentative="1">
      <w:start w:val="1"/>
      <w:numFmt w:val="bullet"/>
      <w:lvlText w:val=""/>
      <w:lvlJc w:val="left"/>
      <w:pPr>
        <w:ind w:left="5104" w:hanging="360"/>
      </w:pPr>
      <w:rPr>
        <w:rFonts w:ascii="Symbol" w:hAnsi="Symbol" w:hint="default"/>
      </w:rPr>
    </w:lvl>
    <w:lvl w:ilvl="7" w:tplc="FFFFFFFF" w:tentative="1">
      <w:start w:val="1"/>
      <w:numFmt w:val="bullet"/>
      <w:lvlText w:val="o"/>
      <w:lvlJc w:val="left"/>
      <w:pPr>
        <w:ind w:left="5824" w:hanging="360"/>
      </w:pPr>
      <w:rPr>
        <w:rFonts w:ascii="Courier New" w:hAnsi="Courier New" w:cs="Courier New" w:hint="default"/>
      </w:rPr>
    </w:lvl>
    <w:lvl w:ilvl="8" w:tplc="FFFFFFFF" w:tentative="1">
      <w:start w:val="1"/>
      <w:numFmt w:val="bullet"/>
      <w:lvlText w:val=""/>
      <w:lvlJc w:val="left"/>
      <w:pPr>
        <w:ind w:left="6544" w:hanging="360"/>
      </w:pPr>
      <w:rPr>
        <w:rFonts w:ascii="Wingdings" w:hAnsi="Wingdings" w:hint="default"/>
      </w:rPr>
    </w:lvl>
  </w:abstractNum>
  <w:abstractNum w:abstractNumId="14" w15:restartNumberingAfterBreak="0">
    <w:nsid w:val="20797840"/>
    <w:multiLevelType w:val="hybridMultilevel"/>
    <w:tmpl w:val="0756F022"/>
    <w:lvl w:ilvl="0" w:tplc="3B6AC44E">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9B4887"/>
    <w:multiLevelType w:val="hybridMultilevel"/>
    <w:tmpl w:val="46EC3184"/>
    <w:lvl w:ilvl="0" w:tplc="0A7A44A8">
      <w:start w:val="9"/>
      <w:numFmt w:val="lowerLetter"/>
      <w:lvlText w:val="%1."/>
      <w:lvlJc w:val="left"/>
      <w:pPr>
        <w:ind w:left="1440" w:hanging="360"/>
      </w:pPr>
      <w:rPr>
        <w:rFonts w:ascii="Times New Roman" w:hAnsi="Times New Roman" w:cs="Times New Roman" w:hint="default"/>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E63190D"/>
    <w:multiLevelType w:val="hybridMultilevel"/>
    <w:tmpl w:val="19B0BD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92E3A8A"/>
    <w:multiLevelType w:val="hybridMultilevel"/>
    <w:tmpl w:val="588C576C"/>
    <w:lvl w:ilvl="0" w:tplc="FFFFFFFF">
      <w:start w:val="1"/>
      <w:numFmt w:val="upperRoman"/>
      <w:lvlText w:val="%1."/>
      <w:lvlJc w:val="left"/>
      <w:pPr>
        <w:tabs>
          <w:tab w:val="num" w:pos="1080"/>
        </w:tabs>
        <w:ind w:left="1080" w:hanging="720"/>
      </w:pPr>
      <w:rPr>
        <w:rFonts w:hint="default"/>
      </w:rPr>
    </w:lvl>
    <w:lvl w:ilvl="1" w:tplc="FFFFFFFF">
      <w:start w:val="3"/>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316495002">
    <w:abstractNumId w:val="8"/>
  </w:num>
  <w:num w:numId="2" w16cid:durableId="36509378">
    <w:abstractNumId w:val="8"/>
  </w:num>
  <w:num w:numId="3" w16cid:durableId="276300532">
    <w:abstractNumId w:val="9"/>
  </w:num>
  <w:num w:numId="4" w16cid:durableId="624628542">
    <w:abstractNumId w:val="9"/>
  </w:num>
  <w:num w:numId="5" w16cid:durableId="1863590896">
    <w:abstractNumId w:val="9"/>
  </w:num>
  <w:num w:numId="6" w16cid:durableId="1584488773">
    <w:abstractNumId w:val="2"/>
  </w:num>
  <w:num w:numId="7" w16cid:durableId="2049142756">
    <w:abstractNumId w:val="11"/>
  </w:num>
  <w:num w:numId="8" w16cid:durableId="369383288">
    <w:abstractNumId w:val="17"/>
  </w:num>
  <w:num w:numId="9" w16cid:durableId="627786168">
    <w:abstractNumId w:val="10"/>
  </w:num>
  <w:num w:numId="10" w16cid:durableId="1183323329">
    <w:abstractNumId w:val="12"/>
  </w:num>
  <w:num w:numId="11" w16cid:durableId="378163205">
    <w:abstractNumId w:val="7"/>
  </w:num>
  <w:num w:numId="12" w16cid:durableId="330525798">
    <w:abstractNumId w:val="6"/>
  </w:num>
  <w:num w:numId="13" w16cid:durableId="117922528">
    <w:abstractNumId w:val="5"/>
  </w:num>
  <w:num w:numId="14" w16cid:durableId="804466141">
    <w:abstractNumId w:val="4"/>
  </w:num>
  <w:num w:numId="15" w16cid:durableId="1921325033">
    <w:abstractNumId w:val="3"/>
  </w:num>
  <w:num w:numId="16" w16cid:durableId="593051642">
    <w:abstractNumId w:val="1"/>
  </w:num>
  <w:num w:numId="17" w16cid:durableId="638070229">
    <w:abstractNumId w:val="0"/>
  </w:num>
  <w:num w:numId="18" w16cid:durableId="237594912">
    <w:abstractNumId w:val="9"/>
  </w:num>
  <w:num w:numId="19" w16cid:durableId="1054545301">
    <w:abstractNumId w:val="12"/>
  </w:num>
  <w:num w:numId="20" w16cid:durableId="1803036041">
    <w:abstractNumId w:val="12"/>
  </w:num>
  <w:num w:numId="21" w16cid:durableId="1135291677">
    <w:abstractNumId w:val="13"/>
  </w:num>
  <w:num w:numId="22" w16cid:durableId="633608573">
    <w:abstractNumId w:val="16"/>
  </w:num>
  <w:num w:numId="23" w16cid:durableId="1870145456">
    <w:abstractNumId w:val="15"/>
  </w:num>
  <w:num w:numId="24" w16cid:durableId="16447767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AllFollowNumberWith" w:val="3|"/>
    <w:docVar w:name="SWAllLegalNumbering" w:val="0|"/>
    <w:docVar w:name="SWAllNumberFont" w:val="1||12|10000000000000~~0|0|0|100|0|0|@@"/>
    <w:docVar w:name="SWAllNumberStyle" w:val="2|"/>
    <w:docVar w:name="SWAllRestartAfterHigher" w:val="1|"/>
    <w:docVar w:name="SWAllStyleThatFollows" w:val="Body Text Indent First Line,btf1|"/>
    <w:docVar w:name="SWAllTextAfter" w:val=".|"/>
    <w:docVar w:name="SWAllTextBefore" w:val="|"/>
    <w:docVar w:name="SWConformFont" w:val="1|Times New Roman|12"/>
    <w:docVar w:name="SWDocIDLocation" w:val="0"/>
  </w:docVars>
  <w:rsids>
    <w:rsidRoot w:val="00591480"/>
    <w:rsid w:val="00025880"/>
    <w:rsid w:val="00033B2E"/>
    <w:rsid w:val="000750DC"/>
    <w:rsid w:val="00081102"/>
    <w:rsid w:val="000906A8"/>
    <w:rsid w:val="00094B38"/>
    <w:rsid w:val="000B1F78"/>
    <w:rsid w:val="000B6B5D"/>
    <w:rsid w:val="00105738"/>
    <w:rsid w:val="00144507"/>
    <w:rsid w:val="00154CB0"/>
    <w:rsid w:val="00157D38"/>
    <w:rsid w:val="0017423F"/>
    <w:rsid w:val="001775A5"/>
    <w:rsid w:val="00181AFE"/>
    <w:rsid w:val="00196501"/>
    <w:rsid w:val="001A042F"/>
    <w:rsid w:val="001A082D"/>
    <w:rsid w:val="001A6618"/>
    <w:rsid w:val="001B51E1"/>
    <w:rsid w:val="001C0B93"/>
    <w:rsid w:val="001C54F0"/>
    <w:rsid w:val="001D2FCF"/>
    <w:rsid w:val="001D424C"/>
    <w:rsid w:val="001E141C"/>
    <w:rsid w:val="001E73CD"/>
    <w:rsid w:val="00232948"/>
    <w:rsid w:val="00233020"/>
    <w:rsid w:val="002579F2"/>
    <w:rsid w:val="002643DC"/>
    <w:rsid w:val="002969FA"/>
    <w:rsid w:val="002B253E"/>
    <w:rsid w:val="002B2EFC"/>
    <w:rsid w:val="002C594D"/>
    <w:rsid w:val="002E4864"/>
    <w:rsid w:val="002F3EFA"/>
    <w:rsid w:val="003102AA"/>
    <w:rsid w:val="003126A6"/>
    <w:rsid w:val="00332F56"/>
    <w:rsid w:val="00354886"/>
    <w:rsid w:val="00357814"/>
    <w:rsid w:val="003610AD"/>
    <w:rsid w:val="0037661F"/>
    <w:rsid w:val="00385ACD"/>
    <w:rsid w:val="00396E9F"/>
    <w:rsid w:val="003978D3"/>
    <w:rsid w:val="003B65EB"/>
    <w:rsid w:val="003C12FD"/>
    <w:rsid w:val="003C2800"/>
    <w:rsid w:val="003C488E"/>
    <w:rsid w:val="003E5DA2"/>
    <w:rsid w:val="003F5E5C"/>
    <w:rsid w:val="0040688D"/>
    <w:rsid w:val="00413E3A"/>
    <w:rsid w:val="00426CBF"/>
    <w:rsid w:val="00430D9D"/>
    <w:rsid w:val="00435AFE"/>
    <w:rsid w:val="00435C15"/>
    <w:rsid w:val="00436E36"/>
    <w:rsid w:val="00444931"/>
    <w:rsid w:val="004559E8"/>
    <w:rsid w:val="00457587"/>
    <w:rsid w:val="00460A99"/>
    <w:rsid w:val="00462720"/>
    <w:rsid w:val="004A2BEB"/>
    <w:rsid w:val="004A5546"/>
    <w:rsid w:val="004A729A"/>
    <w:rsid w:val="004B4DE6"/>
    <w:rsid w:val="004D0E7D"/>
    <w:rsid w:val="004F1A63"/>
    <w:rsid w:val="0050465D"/>
    <w:rsid w:val="0051091E"/>
    <w:rsid w:val="005229BD"/>
    <w:rsid w:val="00527067"/>
    <w:rsid w:val="0053055B"/>
    <w:rsid w:val="00553F08"/>
    <w:rsid w:val="005772BC"/>
    <w:rsid w:val="00584C2D"/>
    <w:rsid w:val="0059141C"/>
    <w:rsid w:val="00591480"/>
    <w:rsid w:val="005A7B6D"/>
    <w:rsid w:val="005B3C32"/>
    <w:rsid w:val="005B7745"/>
    <w:rsid w:val="005D050C"/>
    <w:rsid w:val="005E1051"/>
    <w:rsid w:val="005F5777"/>
    <w:rsid w:val="00605F0A"/>
    <w:rsid w:val="00615D7A"/>
    <w:rsid w:val="00637D0A"/>
    <w:rsid w:val="0064003A"/>
    <w:rsid w:val="00644903"/>
    <w:rsid w:val="00665318"/>
    <w:rsid w:val="00665F93"/>
    <w:rsid w:val="00680F96"/>
    <w:rsid w:val="006824F4"/>
    <w:rsid w:val="00683E92"/>
    <w:rsid w:val="00695806"/>
    <w:rsid w:val="00696ED3"/>
    <w:rsid w:val="006B07AD"/>
    <w:rsid w:val="006B11B4"/>
    <w:rsid w:val="006D56CE"/>
    <w:rsid w:val="006E100D"/>
    <w:rsid w:val="006F7BC1"/>
    <w:rsid w:val="007137D0"/>
    <w:rsid w:val="007146C9"/>
    <w:rsid w:val="0071497F"/>
    <w:rsid w:val="00721F4E"/>
    <w:rsid w:val="007400B8"/>
    <w:rsid w:val="00755A9F"/>
    <w:rsid w:val="007740CC"/>
    <w:rsid w:val="007A77BF"/>
    <w:rsid w:val="007B64C3"/>
    <w:rsid w:val="007D14D8"/>
    <w:rsid w:val="007D6963"/>
    <w:rsid w:val="007E458B"/>
    <w:rsid w:val="007F10AD"/>
    <w:rsid w:val="007F1AA0"/>
    <w:rsid w:val="00823E49"/>
    <w:rsid w:val="00860B14"/>
    <w:rsid w:val="008649B6"/>
    <w:rsid w:val="00866F1A"/>
    <w:rsid w:val="00867D9C"/>
    <w:rsid w:val="00876555"/>
    <w:rsid w:val="00894F64"/>
    <w:rsid w:val="00897A05"/>
    <w:rsid w:val="008B2CB7"/>
    <w:rsid w:val="008B4ECE"/>
    <w:rsid w:val="008C4AB1"/>
    <w:rsid w:val="008D340B"/>
    <w:rsid w:val="00900735"/>
    <w:rsid w:val="00901EFC"/>
    <w:rsid w:val="00911CEC"/>
    <w:rsid w:val="009138C6"/>
    <w:rsid w:val="00930882"/>
    <w:rsid w:val="0093351C"/>
    <w:rsid w:val="009419F7"/>
    <w:rsid w:val="009440AF"/>
    <w:rsid w:val="00946E69"/>
    <w:rsid w:val="009626B2"/>
    <w:rsid w:val="00970788"/>
    <w:rsid w:val="00972C0D"/>
    <w:rsid w:val="0098024B"/>
    <w:rsid w:val="00986B1F"/>
    <w:rsid w:val="00987907"/>
    <w:rsid w:val="009927DB"/>
    <w:rsid w:val="009B77F8"/>
    <w:rsid w:val="009C17C1"/>
    <w:rsid w:val="009D5409"/>
    <w:rsid w:val="009D6AE1"/>
    <w:rsid w:val="009F2FBB"/>
    <w:rsid w:val="00A00CBC"/>
    <w:rsid w:val="00A17236"/>
    <w:rsid w:val="00A17591"/>
    <w:rsid w:val="00A25FCB"/>
    <w:rsid w:val="00A7138E"/>
    <w:rsid w:val="00A75791"/>
    <w:rsid w:val="00A7762E"/>
    <w:rsid w:val="00A813DC"/>
    <w:rsid w:val="00A81587"/>
    <w:rsid w:val="00A851E4"/>
    <w:rsid w:val="00A85DBF"/>
    <w:rsid w:val="00A96400"/>
    <w:rsid w:val="00AA5D20"/>
    <w:rsid w:val="00AA6F22"/>
    <w:rsid w:val="00AB3D6F"/>
    <w:rsid w:val="00AD4F3B"/>
    <w:rsid w:val="00AF4C54"/>
    <w:rsid w:val="00AF6FA3"/>
    <w:rsid w:val="00B056F7"/>
    <w:rsid w:val="00B24FF7"/>
    <w:rsid w:val="00B26977"/>
    <w:rsid w:val="00B2766D"/>
    <w:rsid w:val="00B3796C"/>
    <w:rsid w:val="00B61462"/>
    <w:rsid w:val="00B94A6A"/>
    <w:rsid w:val="00B97FEA"/>
    <w:rsid w:val="00BA262B"/>
    <w:rsid w:val="00BB069E"/>
    <w:rsid w:val="00BB179F"/>
    <w:rsid w:val="00BD37EC"/>
    <w:rsid w:val="00BD63E1"/>
    <w:rsid w:val="00BE70B8"/>
    <w:rsid w:val="00C25FEB"/>
    <w:rsid w:val="00C40F81"/>
    <w:rsid w:val="00C46C11"/>
    <w:rsid w:val="00C76958"/>
    <w:rsid w:val="00C76A3F"/>
    <w:rsid w:val="00C82352"/>
    <w:rsid w:val="00C85DCC"/>
    <w:rsid w:val="00C94178"/>
    <w:rsid w:val="00CA0360"/>
    <w:rsid w:val="00CB07F5"/>
    <w:rsid w:val="00CB0DDA"/>
    <w:rsid w:val="00CB271C"/>
    <w:rsid w:val="00CB7B18"/>
    <w:rsid w:val="00CC3FBF"/>
    <w:rsid w:val="00CD265A"/>
    <w:rsid w:val="00CE4C18"/>
    <w:rsid w:val="00CE7618"/>
    <w:rsid w:val="00CF2648"/>
    <w:rsid w:val="00CF6AB8"/>
    <w:rsid w:val="00D00339"/>
    <w:rsid w:val="00D20D04"/>
    <w:rsid w:val="00D21699"/>
    <w:rsid w:val="00D21AC6"/>
    <w:rsid w:val="00D317B4"/>
    <w:rsid w:val="00D36205"/>
    <w:rsid w:val="00D4767B"/>
    <w:rsid w:val="00D536ED"/>
    <w:rsid w:val="00D56859"/>
    <w:rsid w:val="00D570E1"/>
    <w:rsid w:val="00D61772"/>
    <w:rsid w:val="00D93833"/>
    <w:rsid w:val="00DA115B"/>
    <w:rsid w:val="00DB1BB1"/>
    <w:rsid w:val="00DD18FF"/>
    <w:rsid w:val="00DE08FC"/>
    <w:rsid w:val="00DE6E34"/>
    <w:rsid w:val="00DF22A3"/>
    <w:rsid w:val="00E32658"/>
    <w:rsid w:val="00E85FD6"/>
    <w:rsid w:val="00EB6375"/>
    <w:rsid w:val="00EB75E1"/>
    <w:rsid w:val="00ED7BFB"/>
    <w:rsid w:val="00EF1149"/>
    <w:rsid w:val="00EF364E"/>
    <w:rsid w:val="00F11244"/>
    <w:rsid w:val="00F13AF3"/>
    <w:rsid w:val="00F14842"/>
    <w:rsid w:val="00F2788F"/>
    <w:rsid w:val="00F56F7A"/>
    <w:rsid w:val="00F608A9"/>
    <w:rsid w:val="00F829CD"/>
    <w:rsid w:val="00F90DF6"/>
    <w:rsid w:val="00FA361C"/>
    <w:rsid w:val="00FA5006"/>
    <w:rsid w:val="00FB594D"/>
    <w:rsid w:val="00FD1625"/>
    <w:rsid w:val="00FD52CC"/>
    <w:rsid w:val="00FE2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3C652E"/>
  <w15:chartTrackingRefBased/>
  <w15:docId w15:val="{DBEBA6E6-7DD8-459D-AE41-4283555D1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BodyTextIndentFirstLine"/>
    <w:qFormat/>
    <w:pPr>
      <w:keepNext/>
      <w:numPr>
        <w:numId w:val="10"/>
      </w:numPr>
      <w:tabs>
        <w:tab w:val="left" w:pos="720"/>
      </w:tabs>
      <w:spacing w:after="240"/>
      <w:outlineLvl w:val="0"/>
    </w:pPr>
    <w:rPr>
      <w:rFonts w:cs="Arial"/>
      <w:b/>
      <w:bCs/>
      <w:szCs w:val="32"/>
    </w:rPr>
  </w:style>
  <w:style w:type="paragraph" w:styleId="Heading2">
    <w:name w:val="heading 2"/>
    <w:basedOn w:val="Normal"/>
    <w:next w:val="Normal"/>
    <w:qFormat/>
    <w:pPr>
      <w:keepNext/>
      <w:numPr>
        <w:ilvl w:val="1"/>
        <w:numId w:val="10"/>
      </w:numPr>
      <w:spacing w:after="240"/>
      <w:outlineLvl w:val="1"/>
    </w:pPr>
    <w:rPr>
      <w:rFonts w:cs="Arial"/>
      <w:bCs/>
      <w:iCs/>
      <w:szCs w:val="28"/>
    </w:rPr>
  </w:style>
  <w:style w:type="paragraph" w:styleId="Heading3">
    <w:name w:val="heading 3"/>
    <w:basedOn w:val="Normal"/>
    <w:next w:val="Normal"/>
    <w:qFormat/>
    <w:pPr>
      <w:keepNext/>
      <w:numPr>
        <w:ilvl w:val="2"/>
        <w:numId w:val="10"/>
      </w:numPr>
      <w:spacing w:after="240"/>
      <w:outlineLvl w:val="2"/>
    </w:pPr>
    <w:rPr>
      <w:rFonts w:cs="Arial"/>
      <w:bCs/>
      <w:szCs w:val="26"/>
    </w:rPr>
  </w:style>
  <w:style w:type="paragraph" w:styleId="Heading4">
    <w:name w:val="heading 4"/>
    <w:basedOn w:val="Normal"/>
    <w:next w:val="Normal"/>
    <w:qFormat/>
    <w:pPr>
      <w:keepNext/>
      <w:numPr>
        <w:ilvl w:val="3"/>
        <w:numId w:val="10"/>
      </w:numPr>
      <w:spacing w:after="240"/>
      <w:outlineLvl w:val="3"/>
    </w:pPr>
    <w:rPr>
      <w:bCs/>
      <w:szCs w:val="28"/>
    </w:rPr>
  </w:style>
  <w:style w:type="paragraph" w:styleId="Heading5">
    <w:name w:val="heading 5"/>
    <w:basedOn w:val="Normal"/>
    <w:next w:val="Normal"/>
    <w:qFormat/>
    <w:pPr>
      <w:numPr>
        <w:ilvl w:val="4"/>
        <w:numId w:val="10"/>
      </w:numPr>
      <w:spacing w:before="240" w:after="60"/>
      <w:outlineLvl w:val="4"/>
    </w:pPr>
    <w:rPr>
      <w:b/>
      <w:bCs/>
      <w:i/>
      <w:iCs/>
      <w:sz w:val="26"/>
      <w:szCs w:val="26"/>
    </w:rPr>
  </w:style>
  <w:style w:type="paragraph" w:styleId="Heading6">
    <w:name w:val="heading 6"/>
    <w:basedOn w:val="Normal"/>
    <w:next w:val="Normal"/>
    <w:qFormat/>
    <w:pPr>
      <w:numPr>
        <w:ilvl w:val="5"/>
        <w:numId w:val="10"/>
      </w:numPr>
      <w:spacing w:before="240" w:after="60"/>
      <w:outlineLvl w:val="5"/>
    </w:pPr>
    <w:rPr>
      <w:b/>
      <w:bCs/>
      <w:sz w:val="22"/>
      <w:szCs w:val="22"/>
    </w:rPr>
  </w:style>
  <w:style w:type="paragraph" w:styleId="Heading7">
    <w:name w:val="heading 7"/>
    <w:basedOn w:val="Normal"/>
    <w:next w:val="Normal"/>
    <w:qFormat/>
    <w:pPr>
      <w:numPr>
        <w:ilvl w:val="6"/>
        <w:numId w:val="10"/>
      </w:numPr>
      <w:spacing w:before="240" w:after="60"/>
      <w:outlineLvl w:val="6"/>
    </w:pPr>
  </w:style>
  <w:style w:type="paragraph" w:styleId="Heading8">
    <w:name w:val="heading 8"/>
    <w:basedOn w:val="Normal"/>
    <w:next w:val="Normal"/>
    <w:qFormat/>
    <w:pPr>
      <w:numPr>
        <w:ilvl w:val="7"/>
        <w:numId w:val="10"/>
      </w:numPr>
      <w:spacing w:before="240" w:after="60"/>
      <w:outlineLvl w:val="7"/>
    </w:pPr>
    <w:rPr>
      <w:i/>
      <w:iCs/>
    </w:rPr>
  </w:style>
  <w:style w:type="paragraph" w:styleId="Heading9">
    <w:name w:val="heading 9"/>
    <w:basedOn w:val="Normal"/>
    <w:next w:val="Normal"/>
    <w:qFormat/>
    <w:pPr>
      <w:numPr>
        <w:ilvl w:val="8"/>
        <w:numId w:val="1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aliases w:val="bt"/>
    <w:basedOn w:val="Normal"/>
    <w:pPr>
      <w:spacing w:after="240"/>
      <w:ind w:left="1440" w:right="1440"/>
    </w:pPr>
  </w:style>
  <w:style w:type="paragraph" w:styleId="BodyText2">
    <w:name w:val="Body Text 2"/>
    <w:aliases w:val="bt2"/>
    <w:basedOn w:val="Normal"/>
    <w:pPr>
      <w:spacing w:line="480" w:lineRule="auto"/>
    </w:pPr>
  </w:style>
  <w:style w:type="paragraph" w:styleId="BodyTextIndent">
    <w:name w:val="Body Text Indent"/>
    <w:aliases w:val="bti"/>
    <w:basedOn w:val="Normal"/>
    <w:pPr>
      <w:spacing w:after="240"/>
      <w:ind w:left="720" w:firstLine="1440"/>
    </w:pPr>
  </w:style>
  <w:style w:type="paragraph" w:styleId="BodyTextFirstIndent2">
    <w:name w:val="Body Text First Indent 2"/>
    <w:aliases w:val="btf2"/>
    <w:basedOn w:val="Normal"/>
    <w:pPr>
      <w:spacing w:after="100" w:afterAutospacing="1" w:line="480" w:lineRule="auto"/>
      <w:ind w:firstLine="720"/>
    </w:pPr>
  </w:style>
  <w:style w:type="paragraph" w:styleId="BodyText">
    <w:name w:val="Body Text"/>
    <w:aliases w:val="b"/>
    <w:basedOn w:val="Normal"/>
    <w:pPr>
      <w:spacing w:after="240"/>
    </w:pPr>
  </w:style>
  <w:style w:type="paragraph" w:styleId="BodyTextFirstIndent">
    <w:name w:val="Body Text First Indent"/>
    <w:aliases w:val="btf"/>
    <w:basedOn w:val="Normal"/>
    <w:pPr>
      <w:spacing w:after="240"/>
      <w:ind w:left="2880"/>
    </w:pPr>
  </w:style>
  <w:style w:type="paragraph" w:customStyle="1" w:styleId="BodyTextIndentFirstLine">
    <w:name w:val="Body Text Indent First Line"/>
    <w:aliases w:val="btf1"/>
    <w:basedOn w:val="Normal"/>
    <w:pPr>
      <w:spacing w:after="240"/>
      <w:ind w:firstLine="1440"/>
    </w:pPr>
  </w:style>
  <w:style w:type="paragraph" w:styleId="Footer">
    <w:name w:val="footer"/>
    <w:basedOn w:val="Normal"/>
    <w:link w:val="FooterChar"/>
    <w:uiPriority w:val="99"/>
    <w:pPr>
      <w:tabs>
        <w:tab w:val="center" w:pos="4680"/>
        <w:tab w:val="center" w:pos="9360"/>
      </w:tabs>
    </w:pPr>
    <w:rPr>
      <w:sz w:val="22"/>
    </w:rPr>
  </w:style>
  <w:style w:type="paragraph" w:styleId="Header">
    <w:name w:val="header"/>
    <w:basedOn w:val="Normal"/>
    <w:pPr>
      <w:tabs>
        <w:tab w:val="center" w:pos="4320"/>
        <w:tab w:val="right" w:pos="8640"/>
      </w:tabs>
    </w:pPr>
  </w:style>
  <w:style w:type="paragraph" w:customStyle="1" w:styleId="RightFlush">
    <w:name w:val="Right Flush"/>
    <w:aliases w:val="rf"/>
    <w:basedOn w:val="Normal"/>
    <w:pPr>
      <w:spacing w:after="240"/>
      <w:jc w:val="right"/>
    </w:pPr>
  </w:style>
  <w:style w:type="paragraph" w:styleId="Signature">
    <w:name w:val="Signature"/>
    <w:aliases w:val="s"/>
    <w:basedOn w:val="Normal"/>
    <w:pPr>
      <w:ind w:left="4320"/>
    </w:pPr>
  </w:style>
  <w:style w:type="paragraph" w:styleId="Subtitle">
    <w:name w:val="Subtitle"/>
    <w:aliases w:val="st"/>
    <w:basedOn w:val="Normal"/>
    <w:qFormat/>
    <w:pPr>
      <w:keepNext/>
      <w:spacing w:after="240"/>
    </w:pPr>
    <w:rPr>
      <w:rFonts w:cs="Arial"/>
      <w:b/>
    </w:rPr>
  </w:style>
  <w:style w:type="paragraph" w:customStyle="1" w:styleId="SubtitleBC">
    <w:name w:val="SubtitleBC"/>
    <w:aliases w:val="stbc"/>
    <w:basedOn w:val="Normal"/>
    <w:pPr>
      <w:keepNext/>
      <w:spacing w:after="240"/>
    </w:pPr>
    <w:rPr>
      <w:b/>
      <w:caps/>
    </w:rPr>
  </w:style>
  <w:style w:type="paragraph" w:styleId="Title">
    <w:name w:val="Title"/>
    <w:aliases w:val="t"/>
    <w:basedOn w:val="Normal"/>
    <w:qFormat/>
    <w:pPr>
      <w:keepNext/>
      <w:spacing w:after="240"/>
      <w:jc w:val="center"/>
    </w:pPr>
    <w:rPr>
      <w:rFonts w:cs="Arial"/>
      <w:bCs/>
      <w:szCs w:val="32"/>
    </w:rPr>
  </w:style>
  <w:style w:type="paragraph" w:customStyle="1" w:styleId="TitleB">
    <w:name w:val="TitleB"/>
    <w:aliases w:val="tb"/>
    <w:basedOn w:val="Normal"/>
    <w:pPr>
      <w:keepNext/>
      <w:spacing w:after="240"/>
      <w:jc w:val="center"/>
    </w:pPr>
    <w:rPr>
      <w:b/>
    </w:rPr>
  </w:style>
  <w:style w:type="paragraph" w:customStyle="1" w:styleId="TitleBC">
    <w:name w:val="TitleBC"/>
    <w:aliases w:val="tbc"/>
    <w:basedOn w:val="Normal"/>
    <w:pPr>
      <w:keepNext/>
      <w:spacing w:after="240"/>
      <w:jc w:val="center"/>
    </w:pPr>
    <w:rPr>
      <w:b/>
      <w:caps/>
      <w:kern w:val="18"/>
      <w:u w:val="single"/>
    </w:rPr>
  </w:style>
  <w:style w:type="paragraph" w:customStyle="1" w:styleId="SubtitleI">
    <w:name w:val="SubtitleI"/>
    <w:aliases w:val="sti"/>
    <w:basedOn w:val="Normal"/>
    <w:next w:val="Normal"/>
    <w:pPr>
      <w:spacing w:after="240"/>
    </w:pPr>
    <w:rPr>
      <w:b/>
      <w:i/>
    </w:rPr>
  </w:style>
  <w:style w:type="paragraph" w:customStyle="1" w:styleId="TitleU">
    <w:name w:val="TitleU"/>
    <w:aliases w:val="tu"/>
    <w:basedOn w:val="Normal"/>
    <w:pPr>
      <w:spacing w:after="240"/>
      <w:jc w:val="center"/>
    </w:pPr>
    <w:rPr>
      <w:u w:val="single"/>
    </w:rPr>
  </w:style>
  <w:style w:type="paragraph" w:styleId="TOC4">
    <w:name w:val="toc 4"/>
    <w:basedOn w:val="Normal"/>
    <w:next w:val="Normal"/>
    <w:autoRedefine/>
    <w:semiHidden/>
  </w:style>
  <w:style w:type="paragraph" w:styleId="TOC3">
    <w:name w:val="toc 3"/>
    <w:basedOn w:val="Normal"/>
    <w:next w:val="Normal"/>
    <w:autoRedefine/>
    <w:semiHidden/>
  </w:style>
  <w:style w:type="paragraph" w:styleId="TOC2">
    <w:name w:val="toc 2"/>
    <w:basedOn w:val="Normal"/>
    <w:next w:val="Normal"/>
    <w:autoRedefine/>
    <w:semiHidden/>
  </w:style>
  <w:style w:type="paragraph" w:styleId="TOC1">
    <w:name w:val="toc 1"/>
    <w:basedOn w:val="Normal"/>
    <w:next w:val="Normal"/>
    <w:autoRedefine/>
    <w:semiHidden/>
  </w:style>
  <w:style w:type="paragraph" w:styleId="ListNumber">
    <w:name w:val="List Number"/>
    <w:basedOn w:val="Normal"/>
    <w:pPr>
      <w:numPr>
        <w:numId w:val="2"/>
      </w:numPr>
      <w:spacing w:after="240"/>
    </w:pPr>
  </w:style>
  <w:style w:type="paragraph" w:styleId="ListBullet">
    <w:name w:val="List Bullet"/>
    <w:basedOn w:val="Normal"/>
    <w:pPr>
      <w:numPr>
        <w:numId w:val="5"/>
      </w:numPr>
      <w:tabs>
        <w:tab w:val="clear" w:pos="1440"/>
        <w:tab w:val="left" w:pos="1980"/>
      </w:tabs>
      <w:spacing w:after="240"/>
      <w:ind w:left="1980" w:hanging="540"/>
    </w:pPr>
    <w:rPr>
      <w:kern w:val="18"/>
      <w:szCs w:val="20"/>
    </w:rPr>
  </w:style>
  <w:style w:type="paragraph" w:styleId="FootnoteText">
    <w:name w:val="footnote text"/>
    <w:basedOn w:val="Normal"/>
    <w:semiHidden/>
    <w:rPr>
      <w:sz w:val="20"/>
      <w:szCs w:val="20"/>
    </w:rPr>
  </w:style>
  <w:style w:type="character" w:styleId="PageNumber">
    <w:name w:val="page number"/>
    <w:rPr>
      <w:sz w:val="24"/>
    </w:rPr>
  </w:style>
  <w:style w:type="character" w:styleId="FootnoteReference">
    <w:name w:val="footnote reference"/>
    <w:semiHidden/>
    <w:rPr>
      <w:vertAlign w:val="superscript"/>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Revision">
    <w:name w:val="Revision"/>
    <w:hidden/>
    <w:uiPriority w:val="99"/>
    <w:semiHidden/>
    <w:rsid w:val="00A422B5"/>
    <w:rPr>
      <w:sz w:val="24"/>
      <w:szCs w:val="24"/>
      <w:lang w:val="en-US" w:eastAsia="en-US"/>
    </w:rPr>
  </w:style>
  <w:style w:type="character" w:styleId="CommentReference">
    <w:name w:val="annotation reference"/>
    <w:uiPriority w:val="99"/>
    <w:semiHidden/>
    <w:unhideWhenUsed/>
    <w:rsid w:val="00FF47D2"/>
    <w:rPr>
      <w:sz w:val="16"/>
      <w:szCs w:val="16"/>
    </w:rPr>
  </w:style>
  <w:style w:type="paragraph" w:styleId="CommentText">
    <w:name w:val="annotation text"/>
    <w:basedOn w:val="Normal"/>
    <w:link w:val="CommentTextChar"/>
    <w:uiPriority w:val="99"/>
    <w:unhideWhenUsed/>
    <w:rsid w:val="00FF47D2"/>
    <w:rPr>
      <w:sz w:val="20"/>
      <w:szCs w:val="20"/>
    </w:rPr>
  </w:style>
  <w:style w:type="character" w:customStyle="1" w:styleId="CommentTextChar">
    <w:name w:val="Comment Text Char"/>
    <w:link w:val="CommentText"/>
    <w:uiPriority w:val="99"/>
    <w:rsid w:val="00FF47D2"/>
    <w:rPr>
      <w:lang w:val="en-US" w:eastAsia="en-US"/>
    </w:rPr>
  </w:style>
  <w:style w:type="paragraph" w:styleId="CommentSubject">
    <w:name w:val="annotation subject"/>
    <w:basedOn w:val="CommentText"/>
    <w:next w:val="CommentText"/>
    <w:link w:val="CommentSubjectChar"/>
    <w:uiPriority w:val="99"/>
    <w:semiHidden/>
    <w:unhideWhenUsed/>
    <w:rsid w:val="00FF47D2"/>
    <w:rPr>
      <w:b/>
      <w:bCs/>
    </w:rPr>
  </w:style>
  <w:style w:type="character" w:customStyle="1" w:styleId="CommentSubjectChar">
    <w:name w:val="Comment Subject Char"/>
    <w:link w:val="CommentSubject"/>
    <w:uiPriority w:val="99"/>
    <w:semiHidden/>
    <w:rsid w:val="00FF47D2"/>
    <w:rPr>
      <w:b/>
      <w:bCs/>
      <w:lang w:val="en-US" w:eastAsia="en-US"/>
    </w:rPr>
  </w:style>
  <w:style w:type="paragraph" w:styleId="ListParagraph">
    <w:name w:val="List Paragraph"/>
    <w:basedOn w:val="Normal"/>
    <w:uiPriority w:val="34"/>
    <w:qFormat/>
    <w:rsid w:val="000906A8"/>
    <w:pPr>
      <w:ind w:left="720"/>
    </w:pPr>
  </w:style>
  <w:style w:type="character" w:customStyle="1" w:styleId="FooterChar">
    <w:name w:val="Footer Char"/>
    <w:link w:val="Footer"/>
    <w:uiPriority w:val="99"/>
    <w:rsid w:val="0071497F"/>
    <w:rPr>
      <w:sz w:val="22"/>
      <w:szCs w:val="24"/>
      <w:lang w:val="en-US" w:eastAsia="en-US"/>
    </w:rPr>
  </w:style>
  <w:style w:type="character" w:customStyle="1" w:styleId="normaltextrun">
    <w:name w:val="normaltextrun"/>
    <w:basedOn w:val="DefaultParagraphFont"/>
    <w:rsid w:val="00D93833"/>
  </w:style>
  <w:style w:type="character" w:customStyle="1" w:styleId="findhit">
    <w:name w:val="findhit"/>
    <w:basedOn w:val="DefaultParagraphFont"/>
    <w:rsid w:val="00D93833"/>
  </w:style>
  <w:style w:type="character" w:customStyle="1" w:styleId="ui-provider">
    <w:name w:val="ui-provider"/>
    <w:basedOn w:val="DefaultParagraphFont"/>
    <w:rsid w:val="00FA5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8051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32B38C9FD90A4686F5BF1E440C05D2" ma:contentTypeVersion="18" ma:contentTypeDescription="Create a new document." ma:contentTypeScope="" ma:versionID="c1ad837828b1ad9efeabc78a9bc78dec">
  <xsd:schema xmlns:xsd="http://www.w3.org/2001/XMLSchema" xmlns:xs="http://www.w3.org/2001/XMLSchema" xmlns:p="http://schemas.microsoft.com/office/2006/metadata/properties" xmlns:ns2="19e67807-4a59-42ea-9bfd-c522cf962070" xmlns:ns3="d17f04d3-c14e-41ef-b229-e50f1a4073f7" targetNamespace="http://schemas.microsoft.com/office/2006/metadata/properties" ma:root="true" ma:fieldsID="14ee2bc7dad5f2a83a992e6816495a20" ns2:_="" ns3:_="">
    <xsd:import namespace="19e67807-4a59-42ea-9bfd-c522cf962070"/>
    <xsd:import namespace="d17f04d3-c14e-41ef-b229-e50f1a4073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67807-4a59-42ea-9bfd-c522cf962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4c0415-38fe-4f3a-8d47-4801c8d49f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f04d3-c14e-41ef-b229-e50f1a4073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9bb8e8-c893-4fe1-b5c1-9af7734ad6ce}" ma:internalName="TaxCatchAll" ma:showField="CatchAllData" ma:web="d17f04d3-c14e-41ef-b229-e50f1a4073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d17f04d3-c14e-41ef-b229-e50f1a4073f7" xsi:nil="true"/>
    <lcf76f155ced4ddcb4097134ff3c332f xmlns="19e67807-4a59-42ea-9bfd-c522cf96207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BA6311-7E4E-4C1D-A1AD-200A56EDB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e67807-4a59-42ea-9bfd-c522cf962070"/>
    <ds:schemaRef ds:uri="d17f04d3-c14e-41ef-b229-e50f1a4073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33E5F7-ACEC-4ACE-BDBA-816FC929B1DF}">
  <ds:schemaRefs>
    <ds:schemaRef ds:uri="http://schemas.microsoft.com/office/2006/metadata/longProperties"/>
  </ds:schemaRefs>
</ds:datastoreItem>
</file>

<file path=customXml/itemProps3.xml><?xml version="1.0" encoding="utf-8"?>
<ds:datastoreItem xmlns:ds="http://schemas.openxmlformats.org/officeDocument/2006/customXml" ds:itemID="{A4AB6DA1-F519-45C4-8E5F-11E0E09E3F73}">
  <ds:schemaRefs>
    <ds:schemaRef ds:uri="http://schemas.microsoft.com/office/2006/metadata/properties"/>
    <ds:schemaRef ds:uri="http://schemas.microsoft.com/office/infopath/2007/PartnerControls"/>
    <ds:schemaRef ds:uri="d17f04d3-c14e-41ef-b229-e50f1a4073f7"/>
    <ds:schemaRef ds:uri="19e67807-4a59-42ea-9bfd-c522cf962070"/>
  </ds:schemaRefs>
</ds:datastoreItem>
</file>

<file path=customXml/itemProps4.xml><?xml version="1.0" encoding="utf-8"?>
<ds:datastoreItem xmlns:ds="http://schemas.openxmlformats.org/officeDocument/2006/customXml" ds:itemID="{9B02D023-4C92-4EEB-8FBB-346A27BBE722}">
  <ds:schemaRefs>
    <ds:schemaRef ds:uri="http://schemas.openxmlformats.org/officeDocument/2006/bibliography"/>
  </ds:schemaRefs>
</ds:datastoreItem>
</file>

<file path=customXml/itemProps5.xml><?xml version="1.0" encoding="utf-8"?>
<ds:datastoreItem xmlns:ds="http://schemas.openxmlformats.org/officeDocument/2006/customXml" ds:itemID="{EFFE1A91-142C-4B88-898F-0ECD72775F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REVISED</vt:lpstr>
    </vt:vector>
  </TitlesOfParts>
  <Manager/>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dc:title>
  <dc:subject/>
  <dc:creator>jypruitt</dc:creator>
  <cp:keywords/>
  <dc:description/>
  <cp:lastModifiedBy>Neil Roberts</cp:lastModifiedBy>
  <cp:revision>7</cp:revision>
  <cp:lastPrinted>2022-11-24T17:25:00Z</cp:lastPrinted>
  <dcterms:created xsi:type="dcterms:W3CDTF">2024-02-14T09:18:00Z</dcterms:created>
  <dcterms:modified xsi:type="dcterms:W3CDTF">2024-06-06T13:49:00Z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Author">
    <vt:lpwstr>BUILTIN\Administrators</vt:lpwstr>
  </property>
  <property fmtid="{D5CDD505-2E9C-101B-9397-08002B2CF9AE}" pid="3" name="display_urn:schemas-microsoft-com:office:office#Editor">
    <vt:lpwstr>BUILTIN\Administrators</vt:lpwstr>
  </property>
  <property fmtid="{D5CDD505-2E9C-101B-9397-08002B2CF9AE}" pid="4" name="Order">
    <vt:lpwstr>26765500.0000000</vt:lpwstr>
  </property>
  <property fmtid="{D5CDD505-2E9C-101B-9397-08002B2CF9AE}" pid="5" name="SWDocID">
    <vt:lpwstr/>
  </property>
  <property fmtid="{D5CDD505-2E9C-101B-9397-08002B2CF9AE}" pid="6" name="ContentTypeId">
    <vt:lpwstr>0x0101006F32B38C9FD90A4686F5BF1E440C05D2</vt:lpwstr>
  </property>
  <property fmtid="{D5CDD505-2E9C-101B-9397-08002B2CF9AE}" pid="7" name="MediaServiceImageTags">
    <vt:lpwstr/>
  </property>
</Properties>
</file>