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3383"/>
        <w:gridCol w:w="2008"/>
        <w:gridCol w:w="2135"/>
      </w:tblGrid>
      <w:tr w:rsidR="004E0372" w14:paraId="1054AB7C" w14:textId="77777777">
        <w:trPr>
          <w:trHeight w:val="255"/>
        </w:trPr>
        <w:tc>
          <w:tcPr>
            <w:tcW w:w="9762" w:type="dxa"/>
            <w:gridSpan w:val="4"/>
            <w:tcBorders>
              <w:bottom w:val="single" w:sz="18" w:space="0" w:color="000000"/>
            </w:tcBorders>
            <w:shd w:val="clear" w:color="auto" w:fill="1F487C"/>
          </w:tcPr>
          <w:p w14:paraId="1054AB7B" w14:textId="1E04634B" w:rsidR="004E0372" w:rsidRPr="00EF22C1" w:rsidRDefault="00AD4A89">
            <w:pPr>
              <w:pStyle w:val="TableParagraph"/>
              <w:spacing w:line="235" w:lineRule="exact"/>
              <w:ind w:left="20" w:right="32"/>
              <w:jc w:val="center"/>
              <w:rPr>
                <w:rFonts w:ascii="Arial" w:hAnsi="Arial" w:cs="Arial"/>
                <w:b/>
                <w:i/>
                <w:sz w:val="21"/>
              </w:rPr>
            </w:pP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JNRC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3"/>
                <w:sz w:val="21"/>
              </w:rPr>
              <w:t xml:space="preserve"> </w:t>
            </w: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-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0"/>
                <w:sz w:val="21"/>
              </w:rPr>
              <w:t xml:space="preserve"> </w:t>
            </w: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Learning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4"/>
                <w:sz w:val="21"/>
              </w:rPr>
              <w:t xml:space="preserve"> </w:t>
            </w: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Opportunity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0"/>
                <w:sz w:val="21"/>
              </w:rPr>
              <w:t xml:space="preserve"> </w:t>
            </w: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Notification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4"/>
                <w:sz w:val="21"/>
              </w:rPr>
              <w:t xml:space="preserve"> </w:t>
            </w:r>
            <w:r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(LON)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0"/>
                <w:sz w:val="21"/>
              </w:rPr>
              <w:t xml:space="preserve"> </w:t>
            </w:r>
            <w:r w:rsidR="005E6695" w:rsidRPr="00EF22C1">
              <w:rPr>
                <w:rFonts w:ascii="Arial" w:hAnsi="Arial" w:cs="Arial"/>
                <w:b/>
                <w:i/>
                <w:color w:val="FFFFFF"/>
                <w:sz w:val="21"/>
              </w:rPr>
              <w:t>–</w:t>
            </w:r>
            <w:r w:rsidRPr="00EF22C1">
              <w:rPr>
                <w:rFonts w:ascii="Arial" w:hAnsi="Arial" w:cs="Arial"/>
                <w:b/>
                <w:i/>
                <w:color w:val="FFFFFF"/>
                <w:spacing w:val="13"/>
                <w:sz w:val="21"/>
              </w:rPr>
              <w:t xml:space="preserve"> </w:t>
            </w:r>
            <w:r w:rsidR="004243B9" w:rsidRPr="00EF22C1">
              <w:rPr>
                <w:rFonts w:ascii="Arial" w:hAnsi="Arial" w:cs="Arial"/>
                <w:b/>
                <w:i/>
                <w:color w:val="FFFFFF"/>
                <w:spacing w:val="13"/>
                <w:sz w:val="21"/>
              </w:rPr>
              <w:t>010</w:t>
            </w:r>
          </w:p>
        </w:tc>
      </w:tr>
      <w:tr w:rsidR="004E0372" w14:paraId="1054AB81" w14:textId="77777777">
        <w:trPr>
          <w:trHeight w:val="271"/>
        </w:trPr>
        <w:tc>
          <w:tcPr>
            <w:tcW w:w="5619" w:type="dxa"/>
            <w:gridSpan w:val="2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1F487C"/>
          </w:tcPr>
          <w:p w14:paraId="1054AB7F" w14:textId="77777777" w:rsidR="004E0372" w:rsidRPr="00EF22C1" w:rsidRDefault="00AD4A89">
            <w:pPr>
              <w:pStyle w:val="TableParagraph"/>
              <w:spacing w:before="38"/>
              <w:ind w:left="27"/>
              <w:jc w:val="center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Incident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Details</w:t>
            </w:r>
          </w:p>
        </w:tc>
        <w:tc>
          <w:tcPr>
            <w:tcW w:w="41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1F487C"/>
          </w:tcPr>
          <w:p w14:paraId="1054AB80" w14:textId="77777777" w:rsidR="004E0372" w:rsidRPr="00EF22C1" w:rsidRDefault="00AD4A89">
            <w:pPr>
              <w:pStyle w:val="TableParagraph"/>
              <w:spacing w:before="38"/>
              <w:ind w:left="29"/>
              <w:jc w:val="center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Incident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Impact</w:t>
            </w:r>
          </w:p>
        </w:tc>
      </w:tr>
      <w:tr w:rsidR="004E0372" w14:paraId="1054AB86" w14:textId="77777777">
        <w:trPr>
          <w:trHeight w:val="28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2" w14:textId="77777777" w:rsidR="004E0372" w:rsidRPr="00EF22C1" w:rsidRDefault="00AD4A89">
            <w:pPr>
              <w:pStyle w:val="TableParagraph"/>
              <w:spacing w:before="124" w:line="141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Incident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83" w14:textId="6DC56D7B" w:rsidR="004E0372" w:rsidRPr="00EF22C1" w:rsidRDefault="005E6695" w:rsidP="00FD2DE8">
            <w:pPr>
              <w:pStyle w:val="TableParagraph"/>
              <w:spacing w:before="134" w:line="131" w:lineRule="exact"/>
              <w:ind w:left="44" w:right="4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Blowout from Well 22/30c – G4 on Elgin Offshore Wellhead Platform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4" w14:textId="77777777" w:rsidR="004E0372" w:rsidRPr="00EF22C1" w:rsidRDefault="00AD4A89">
            <w:pPr>
              <w:pStyle w:val="TableParagraph"/>
              <w:spacing w:before="52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People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4AB85" w14:textId="2731BCCD" w:rsidR="004E0372" w:rsidRPr="00EF22C1" w:rsidRDefault="00274E1D" w:rsidP="00E1076E">
            <w:pPr>
              <w:pStyle w:val="TableParagraph"/>
              <w:spacing w:before="60" w:after="60" w:line="131" w:lineRule="exact"/>
              <w:ind w:left="45" w:right="6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238 people evacuated from the</w:t>
            </w:r>
            <w:r w:rsidR="00693D82" w:rsidRPr="00EF22C1">
              <w:rPr>
                <w:rFonts w:ascii="Arial" w:hAnsi="Arial" w:cs="Arial"/>
                <w:sz w:val="12"/>
              </w:rPr>
              <w:t xml:space="preserve"> wider </w:t>
            </w:r>
            <w:r w:rsidRPr="00EF22C1">
              <w:rPr>
                <w:rFonts w:ascii="Arial" w:hAnsi="Arial" w:cs="Arial"/>
                <w:sz w:val="12"/>
              </w:rPr>
              <w:t xml:space="preserve"> Elgin Complex</w:t>
            </w:r>
            <w:r w:rsidR="000F4EE7" w:rsidRPr="00EF22C1">
              <w:rPr>
                <w:rFonts w:ascii="Arial" w:hAnsi="Arial" w:cs="Arial"/>
                <w:sz w:val="12"/>
              </w:rPr>
              <w:t xml:space="preserve"> (platform and jack-up</w:t>
            </w:r>
            <w:r w:rsidR="002F4731" w:rsidRPr="00EF22C1">
              <w:rPr>
                <w:rFonts w:ascii="Arial" w:hAnsi="Arial" w:cs="Arial"/>
                <w:sz w:val="12"/>
              </w:rPr>
              <w:t>)</w:t>
            </w:r>
            <w:r w:rsidRPr="00EF22C1">
              <w:rPr>
                <w:rFonts w:ascii="Arial" w:hAnsi="Arial" w:cs="Arial"/>
                <w:sz w:val="12"/>
              </w:rPr>
              <w:t xml:space="preserve"> in addition to all non-essential personnel from </w:t>
            </w:r>
            <w:r w:rsidR="009454B4" w:rsidRPr="00EF22C1">
              <w:rPr>
                <w:rFonts w:ascii="Arial" w:hAnsi="Arial" w:cs="Arial"/>
                <w:sz w:val="12"/>
              </w:rPr>
              <w:t>near</w:t>
            </w:r>
            <w:r w:rsidR="00607112" w:rsidRPr="00EF22C1">
              <w:rPr>
                <w:rFonts w:ascii="Arial" w:hAnsi="Arial" w:cs="Arial"/>
                <w:sz w:val="12"/>
              </w:rPr>
              <w:t>by</w:t>
            </w:r>
            <w:r w:rsidRPr="00EF22C1">
              <w:rPr>
                <w:rFonts w:ascii="Arial" w:hAnsi="Arial" w:cs="Arial"/>
                <w:sz w:val="12"/>
              </w:rPr>
              <w:t xml:space="preserve"> Shearwater Platform and Hans Deul Drilling Rig </w:t>
            </w:r>
          </w:p>
        </w:tc>
      </w:tr>
      <w:tr w:rsidR="004E0372" w14:paraId="1054AB8B" w14:textId="77777777">
        <w:trPr>
          <w:trHeight w:val="28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7" w14:textId="77777777" w:rsidR="004E0372" w:rsidRPr="00EF22C1" w:rsidRDefault="00AD4A89">
            <w:pPr>
              <w:pStyle w:val="TableParagraph"/>
              <w:spacing w:before="124" w:line="141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</w:rPr>
              <w:t>Date</w:t>
            </w:r>
            <w:r w:rsidRPr="00EF22C1">
              <w:rPr>
                <w:rFonts w:ascii="Arial" w:hAnsi="Arial" w:cs="Arial"/>
                <w:b/>
                <w:color w:val="FFFFFF"/>
                <w:spacing w:val="1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</w:rPr>
              <w:t xml:space="preserve">of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Incident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88" w14:textId="7C5CC973" w:rsidR="004E0372" w:rsidRPr="00EF22C1" w:rsidRDefault="005E6695" w:rsidP="00FD2DE8">
            <w:pPr>
              <w:pStyle w:val="TableParagraph"/>
              <w:spacing w:before="134" w:line="131" w:lineRule="exact"/>
              <w:ind w:left="44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25 March 2012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9" w14:textId="77777777" w:rsidR="004E0372" w:rsidRPr="00EF22C1" w:rsidRDefault="00AD4A89">
            <w:pPr>
              <w:pStyle w:val="TableParagraph"/>
              <w:spacing w:before="52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Environment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4AB8A" w14:textId="63BA6E80" w:rsidR="004E0372" w:rsidRPr="00EF22C1" w:rsidRDefault="00274E1D" w:rsidP="00E1076E">
            <w:pPr>
              <w:pStyle w:val="TableParagraph"/>
              <w:spacing w:before="60" w:after="60" w:line="131" w:lineRule="exact"/>
              <w:ind w:left="45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6,172 </w:t>
            </w:r>
            <w:proofErr w:type="spellStart"/>
            <w:r w:rsidRPr="00EF22C1">
              <w:rPr>
                <w:rFonts w:ascii="Arial" w:hAnsi="Arial" w:cs="Arial"/>
                <w:sz w:val="12"/>
              </w:rPr>
              <w:t>t</w:t>
            </w:r>
            <w:r w:rsidR="009105FA" w:rsidRPr="00EF22C1">
              <w:rPr>
                <w:rFonts w:ascii="Arial" w:hAnsi="Arial" w:cs="Arial"/>
                <w:sz w:val="12"/>
              </w:rPr>
              <w:t>e</w:t>
            </w:r>
            <w:proofErr w:type="spellEnd"/>
            <w:r w:rsidR="009105FA" w:rsidRPr="00EF22C1">
              <w:rPr>
                <w:rFonts w:ascii="Arial" w:hAnsi="Arial" w:cs="Arial"/>
                <w:sz w:val="12"/>
              </w:rPr>
              <w:t xml:space="preserve"> </w:t>
            </w:r>
            <w:r w:rsidRPr="00EF22C1">
              <w:rPr>
                <w:rFonts w:ascii="Arial" w:hAnsi="Arial" w:cs="Arial"/>
                <w:sz w:val="12"/>
              </w:rPr>
              <w:t>of gas and condensate released in 51 days</w:t>
            </w:r>
          </w:p>
        </w:tc>
      </w:tr>
      <w:tr w:rsidR="004E0372" w14:paraId="1054AB91" w14:textId="77777777">
        <w:trPr>
          <w:trHeight w:val="28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C" w14:textId="77777777" w:rsidR="004E0372" w:rsidRPr="00EF22C1" w:rsidRDefault="00AD4A89">
            <w:pPr>
              <w:pStyle w:val="TableParagraph"/>
              <w:spacing w:before="124" w:line="141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Location/Country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8D" w14:textId="4237152B" w:rsidR="004E0372" w:rsidRPr="00EF22C1" w:rsidRDefault="006B1F7F" w:rsidP="00BA1A05">
            <w:pPr>
              <w:pStyle w:val="TableParagraph"/>
              <w:spacing w:before="60" w:line="131" w:lineRule="exact"/>
              <w:ind w:left="45" w:right="6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Elgin/Franklin Field, </w:t>
            </w:r>
            <w:r w:rsidR="005E6695" w:rsidRPr="00EF22C1">
              <w:rPr>
                <w:rFonts w:ascii="Arial" w:hAnsi="Arial" w:cs="Arial"/>
                <w:sz w:val="12"/>
              </w:rPr>
              <w:t>UK Continental Shelf, 2</w:t>
            </w:r>
            <w:r w:rsidR="003F6482" w:rsidRPr="00EF22C1">
              <w:rPr>
                <w:rFonts w:ascii="Arial" w:hAnsi="Arial" w:cs="Arial"/>
                <w:sz w:val="12"/>
              </w:rPr>
              <w:t>0</w:t>
            </w:r>
            <w:r w:rsidR="005E6695" w:rsidRPr="00EF22C1">
              <w:rPr>
                <w:rFonts w:ascii="Arial" w:hAnsi="Arial" w:cs="Arial"/>
                <w:sz w:val="12"/>
              </w:rPr>
              <w:t>0 km east of Aberdeen, Scotland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8E" w14:textId="7456205E" w:rsidR="004E0372" w:rsidRPr="00EF22C1" w:rsidRDefault="00AD4A89">
            <w:pPr>
              <w:pStyle w:val="TableParagraph"/>
              <w:spacing w:before="57"/>
              <w:ind w:left="9"/>
              <w:rPr>
                <w:rFonts w:ascii="Arial" w:hAnsi="Arial" w:cs="Arial"/>
                <w:b/>
                <w:sz w:val="9"/>
              </w:rPr>
            </w:pPr>
            <w:r w:rsidRPr="00EF22C1">
              <w:rPr>
                <w:rFonts w:ascii="Arial" w:hAnsi="Arial" w:cs="Arial"/>
                <w:b/>
                <w:color w:val="FFFFFF"/>
                <w:w w:val="105"/>
                <w:sz w:val="13"/>
              </w:rPr>
              <w:t>Asset</w:t>
            </w:r>
            <w:r w:rsidRPr="00EF22C1">
              <w:rPr>
                <w:rFonts w:ascii="Arial" w:hAnsi="Arial" w:cs="Arial"/>
                <w:b/>
                <w:color w:val="FFFFFF"/>
                <w:spacing w:val="-4"/>
                <w:w w:val="105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>(</w:t>
            </w:r>
            <w:r w:rsidR="00004F3E"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>OPS</w:t>
            </w:r>
            <w:r w:rsidR="00DB2C7B"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>R</w:t>
            </w:r>
            <w:r w:rsidR="00004F3E"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 xml:space="preserve"> </w:t>
            </w:r>
            <w:r w:rsidR="00DB2C7B"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 xml:space="preserve">advised loss at </w:t>
            </w:r>
            <w:r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>time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w w:val="105"/>
                <w:sz w:val="9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 xml:space="preserve">of </w:t>
            </w:r>
            <w:r w:rsidR="004959BA" w:rsidRPr="00EF22C1">
              <w:rPr>
                <w:rFonts w:ascii="Arial" w:hAnsi="Arial" w:cs="Arial"/>
                <w:b/>
                <w:color w:val="FFFFFF"/>
                <w:w w:val="105"/>
                <w:sz w:val="9"/>
              </w:rPr>
              <w:t>incident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w w:val="105"/>
                <w:sz w:val="9"/>
              </w:rPr>
              <w:t>)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4AB90" w14:textId="30A11F94" w:rsidR="004E0372" w:rsidRPr="00EF22C1" w:rsidRDefault="001024A0" w:rsidP="00E1076E">
            <w:pPr>
              <w:pStyle w:val="TableParagraph"/>
              <w:spacing w:before="60" w:after="60" w:line="131" w:lineRule="exact"/>
              <w:ind w:left="45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Undisclosed</w:t>
            </w:r>
            <w:r w:rsidR="00792A06" w:rsidRPr="00EF22C1">
              <w:rPr>
                <w:rFonts w:ascii="Arial" w:hAnsi="Arial" w:cs="Arial"/>
                <w:sz w:val="12"/>
              </w:rPr>
              <w:t xml:space="preserve"> (estimated &gt;£300 million</w:t>
            </w:r>
            <w:r w:rsidR="002705EB" w:rsidRPr="00EF22C1">
              <w:rPr>
                <w:rFonts w:ascii="Arial" w:hAnsi="Arial" w:cs="Arial"/>
                <w:sz w:val="12"/>
              </w:rPr>
              <w:t xml:space="preserve"> for well </w:t>
            </w:r>
            <w:r w:rsidR="00ED7355" w:rsidRPr="00EF22C1">
              <w:rPr>
                <w:rFonts w:ascii="Arial" w:hAnsi="Arial" w:cs="Arial"/>
                <w:sz w:val="12"/>
              </w:rPr>
              <w:t>control and loss of production</w:t>
            </w:r>
            <w:r w:rsidR="00792A06" w:rsidRPr="00EF22C1">
              <w:rPr>
                <w:rFonts w:ascii="Arial" w:hAnsi="Arial" w:cs="Arial"/>
                <w:sz w:val="12"/>
              </w:rPr>
              <w:t>)</w:t>
            </w:r>
          </w:p>
        </w:tc>
      </w:tr>
      <w:tr w:rsidR="004E0372" w14:paraId="1054AB97" w14:textId="77777777">
        <w:trPr>
          <w:trHeight w:val="28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92" w14:textId="77777777" w:rsidR="004E0372" w:rsidRPr="00EF22C1" w:rsidRDefault="00AD4A89">
            <w:pPr>
              <w:pStyle w:val="TableParagraph"/>
              <w:spacing w:before="124" w:line="141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</w:rPr>
              <w:t>Type of</w:t>
            </w:r>
            <w:r w:rsidRPr="00EF22C1">
              <w:rPr>
                <w:rFonts w:ascii="Arial" w:hAnsi="Arial" w:cs="Arial"/>
                <w:b/>
                <w:color w:val="FFFFFF"/>
                <w:spacing w:val="1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Incident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93" w14:textId="35A2D6D5" w:rsidR="004E0372" w:rsidRPr="00EF22C1" w:rsidRDefault="0065220A" w:rsidP="00BA1A05">
            <w:pPr>
              <w:pStyle w:val="TableParagraph"/>
              <w:spacing w:before="60" w:line="131" w:lineRule="exact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 </w:t>
            </w:r>
            <w:r w:rsidR="005E6695" w:rsidRPr="00EF22C1">
              <w:rPr>
                <w:rFonts w:ascii="Arial" w:hAnsi="Arial" w:cs="Arial"/>
                <w:sz w:val="12"/>
              </w:rPr>
              <w:t>Blowout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94" w14:textId="77777777" w:rsidR="004E0372" w:rsidRPr="00EF22C1" w:rsidRDefault="00AD4A89">
            <w:pPr>
              <w:pStyle w:val="TableParagraph"/>
              <w:spacing w:before="52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Reputation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4AB96" w14:textId="4E86AA74" w:rsidR="004E0372" w:rsidRPr="00EF22C1" w:rsidRDefault="008C169A" w:rsidP="00E1076E">
            <w:pPr>
              <w:pStyle w:val="TableParagraph"/>
              <w:spacing w:before="60" w:after="60" w:line="131" w:lineRule="exact"/>
              <w:ind w:left="45" w:right="6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Short-term negative share price impact for Operator</w:t>
            </w:r>
          </w:p>
        </w:tc>
      </w:tr>
      <w:tr w:rsidR="004E0372" w14:paraId="1054AB9D" w14:textId="77777777">
        <w:trPr>
          <w:trHeight w:val="32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98" w14:textId="77777777" w:rsidR="004E0372" w:rsidRPr="00EF22C1" w:rsidRDefault="004E0372">
            <w:pPr>
              <w:pStyle w:val="TableParagraph"/>
              <w:spacing w:before="30"/>
              <w:rPr>
                <w:rFonts w:ascii="Arial" w:hAnsi="Arial" w:cs="Arial"/>
                <w:sz w:val="13"/>
              </w:rPr>
            </w:pPr>
          </w:p>
          <w:p w14:paraId="1054AB99" w14:textId="5BA78A77" w:rsidR="004E0372" w:rsidRPr="00EF22C1" w:rsidRDefault="00FA4974">
            <w:pPr>
              <w:pStyle w:val="TableParagraph"/>
              <w:spacing w:line="126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</w:rPr>
              <w:t>Asset Type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9B" w14:textId="2809167E" w:rsidR="004E0372" w:rsidRPr="00EF22C1" w:rsidRDefault="00F04673" w:rsidP="00401519">
            <w:pPr>
              <w:pStyle w:val="TableParagraph"/>
              <w:spacing w:line="116" w:lineRule="exact"/>
              <w:ind w:left="44" w:right="3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H</w:t>
            </w:r>
            <w:r w:rsidR="0065220A" w:rsidRPr="00EF22C1">
              <w:rPr>
                <w:rFonts w:ascii="Arial" w:hAnsi="Arial" w:cs="Arial"/>
                <w:sz w:val="12"/>
              </w:rPr>
              <w:t xml:space="preserve">igh </w:t>
            </w:r>
            <w:r w:rsidRPr="00EF22C1">
              <w:rPr>
                <w:rFonts w:ascii="Arial" w:hAnsi="Arial" w:cs="Arial"/>
                <w:sz w:val="12"/>
              </w:rPr>
              <w:t>P</w:t>
            </w:r>
            <w:r w:rsidR="0065220A" w:rsidRPr="00EF22C1">
              <w:rPr>
                <w:rFonts w:ascii="Arial" w:hAnsi="Arial" w:cs="Arial"/>
                <w:sz w:val="12"/>
              </w:rPr>
              <w:t xml:space="preserve">ressure </w:t>
            </w:r>
            <w:r w:rsidRPr="00EF22C1">
              <w:rPr>
                <w:rFonts w:ascii="Arial" w:hAnsi="Arial" w:cs="Arial"/>
                <w:sz w:val="12"/>
              </w:rPr>
              <w:t>H</w:t>
            </w:r>
            <w:r w:rsidR="0065220A" w:rsidRPr="00EF22C1">
              <w:rPr>
                <w:rFonts w:ascii="Arial" w:hAnsi="Arial" w:cs="Arial"/>
                <w:sz w:val="12"/>
              </w:rPr>
              <w:t xml:space="preserve">igh Temperature (HPHT) </w:t>
            </w:r>
            <w:r w:rsidR="00FB452D" w:rsidRPr="00EF22C1">
              <w:rPr>
                <w:rFonts w:ascii="Arial" w:hAnsi="Arial" w:cs="Arial"/>
                <w:sz w:val="12"/>
              </w:rPr>
              <w:t>fiel</w:t>
            </w:r>
            <w:r w:rsidR="00270F0A" w:rsidRPr="00EF22C1">
              <w:rPr>
                <w:rFonts w:ascii="Arial" w:hAnsi="Arial" w:cs="Arial"/>
                <w:sz w:val="12"/>
              </w:rPr>
              <w:t xml:space="preserve">d </w:t>
            </w:r>
            <w:r w:rsidR="00A23FD8" w:rsidRPr="00EF22C1">
              <w:rPr>
                <w:rFonts w:ascii="Arial" w:hAnsi="Arial" w:cs="Arial"/>
                <w:sz w:val="12"/>
              </w:rPr>
              <w:t xml:space="preserve">in </w:t>
            </w:r>
            <w:r w:rsidRPr="00EF22C1">
              <w:rPr>
                <w:rFonts w:ascii="Arial" w:hAnsi="Arial" w:cs="Arial"/>
                <w:sz w:val="12"/>
              </w:rPr>
              <w:t>9</w:t>
            </w:r>
            <w:r w:rsidR="00141011" w:rsidRPr="00EF22C1">
              <w:rPr>
                <w:rFonts w:ascii="Arial" w:hAnsi="Arial" w:cs="Arial"/>
                <w:sz w:val="12"/>
              </w:rPr>
              <w:t>3</w:t>
            </w:r>
            <w:r w:rsidRPr="00EF22C1">
              <w:rPr>
                <w:rFonts w:ascii="Arial" w:hAnsi="Arial" w:cs="Arial"/>
                <w:sz w:val="12"/>
              </w:rPr>
              <w:t xml:space="preserve">m </w:t>
            </w:r>
            <w:r w:rsidR="007D7D5B" w:rsidRPr="00EF22C1">
              <w:rPr>
                <w:rFonts w:ascii="Arial" w:hAnsi="Arial" w:cs="Arial"/>
                <w:sz w:val="12"/>
              </w:rPr>
              <w:t xml:space="preserve">water </w:t>
            </w:r>
            <w:r w:rsidRPr="00EF22C1">
              <w:rPr>
                <w:rFonts w:ascii="Arial" w:hAnsi="Arial" w:cs="Arial"/>
                <w:sz w:val="12"/>
              </w:rPr>
              <w:t>depth</w:t>
            </w:r>
            <w:r w:rsidR="007120F5" w:rsidRPr="00EF22C1">
              <w:rPr>
                <w:rFonts w:ascii="Arial" w:hAnsi="Arial" w:cs="Arial"/>
                <w:sz w:val="12"/>
              </w:rPr>
              <w:t xml:space="preserve"> </w:t>
            </w:r>
            <w:r w:rsidR="00401519" w:rsidRPr="00EF22C1">
              <w:rPr>
                <w:rFonts w:ascii="Arial" w:hAnsi="Arial" w:cs="Arial"/>
                <w:sz w:val="12"/>
              </w:rPr>
              <w:t xml:space="preserve">   </w:t>
            </w:r>
            <w:r w:rsidR="007120F5" w:rsidRPr="00EF22C1">
              <w:rPr>
                <w:rFonts w:ascii="Arial" w:hAnsi="Arial" w:cs="Arial"/>
                <w:sz w:val="12"/>
              </w:rPr>
              <w:t>producing 130,000 bpd</w:t>
            </w:r>
            <w:r w:rsidR="000C0238" w:rsidRPr="00EF22C1">
              <w:rPr>
                <w:rFonts w:ascii="Arial" w:hAnsi="Arial" w:cs="Arial"/>
                <w:sz w:val="12"/>
              </w:rPr>
              <w:t xml:space="preserve"> oil plus gas </w:t>
            </w:r>
            <w:r w:rsidR="00270F0A" w:rsidRPr="00EF22C1">
              <w:rPr>
                <w:rFonts w:ascii="Arial" w:hAnsi="Arial" w:cs="Arial"/>
                <w:sz w:val="12"/>
              </w:rPr>
              <w:t xml:space="preserve">at time of incident </w:t>
            </w:r>
          </w:p>
        </w:tc>
        <w:tc>
          <w:tcPr>
            <w:tcW w:w="4143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670E4A83" w14:textId="77777777" w:rsidR="00245E86" w:rsidRDefault="00245E86" w:rsidP="00BA3B6B">
            <w:pPr>
              <w:pStyle w:val="TableParagraph"/>
              <w:ind w:left="-8" w:right="-58"/>
              <w:jc w:val="center"/>
              <w:rPr>
                <w:rFonts w:ascii="Times New Roman"/>
                <w:sz w:val="20"/>
              </w:rPr>
            </w:pPr>
          </w:p>
          <w:p w14:paraId="33D888BB" w14:textId="77777777" w:rsidR="004E0372" w:rsidRDefault="00245E86" w:rsidP="00BA3B6B">
            <w:pPr>
              <w:pStyle w:val="TableParagraph"/>
              <w:ind w:left="-8" w:right="-58"/>
              <w:jc w:val="center"/>
              <w:rPr>
                <w:rFonts w:ascii="Times New Roman"/>
                <w:sz w:val="20"/>
              </w:rPr>
            </w:pPr>
            <w:r w:rsidRPr="00245E86">
              <w:rPr>
                <w:rFonts w:ascii="Times New Roman"/>
                <w:noProof/>
                <w:sz w:val="20"/>
              </w:rPr>
              <w:drawing>
                <wp:inline distT="0" distB="0" distL="0" distR="0" wp14:anchorId="3F7976EF" wp14:editId="6FE0C530">
                  <wp:extent cx="1538147" cy="1079500"/>
                  <wp:effectExtent l="0" t="0" r="5080" b="635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037" cy="109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4AB9C" w14:textId="4E0725F0" w:rsidR="00B75C07" w:rsidRPr="002705EB" w:rsidRDefault="00B75C07" w:rsidP="00BA3B6B">
            <w:pPr>
              <w:pStyle w:val="TableParagraph"/>
              <w:ind w:left="-8" w:right="-58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2705EB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Gas </w:t>
            </w:r>
            <w:r w:rsidR="003377B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R</w:t>
            </w:r>
            <w:r w:rsidRPr="002705EB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elease at </w:t>
            </w:r>
            <w:r w:rsidR="006069E6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G4 </w:t>
            </w:r>
            <w:r w:rsidR="003377B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W</w:t>
            </w:r>
            <w:r w:rsidR="002705EB" w:rsidRPr="002705EB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ell-</w:t>
            </w:r>
            <w:r w:rsidR="003377B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H</w:t>
            </w:r>
            <w:r w:rsidR="002705EB" w:rsidRPr="002705EB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ead</w:t>
            </w:r>
            <w:r w:rsidR="003377B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 (Total</w:t>
            </w:r>
            <w:r w:rsidR="005F6814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 xml:space="preserve"> Elgin Storyboard</w:t>
            </w:r>
            <w:r w:rsidR="003377B5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)</w:t>
            </w:r>
          </w:p>
        </w:tc>
      </w:tr>
      <w:tr w:rsidR="004E052A" w14:paraId="786CD3AF" w14:textId="77777777">
        <w:trPr>
          <w:trHeight w:val="325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7F219E58" w14:textId="4170415C" w:rsidR="004E052A" w:rsidRPr="00EF22C1" w:rsidRDefault="00084940">
            <w:pPr>
              <w:pStyle w:val="TableParagraph"/>
              <w:spacing w:before="30"/>
              <w:rPr>
                <w:rFonts w:ascii="Arial" w:hAnsi="Arial" w:cs="Arial"/>
                <w:b/>
                <w:bCs/>
                <w:sz w:val="13"/>
              </w:rPr>
            </w:pPr>
            <w:r w:rsidRPr="00EF22C1">
              <w:rPr>
                <w:rFonts w:ascii="Arial" w:hAnsi="Arial" w:cs="Arial"/>
                <w:b/>
                <w:bCs/>
                <w:color w:val="FFFFFF" w:themeColor="background1"/>
                <w:sz w:val="13"/>
              </w:rPr>
              <w:t>Asset Status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C48157" w14:textId="1B5570B6" w:rsidR="004E052A" w:rsidRPr="00EF22C1" w:rsidRDefault="0065220A" w:rsidP="00F04673">
            <w:pPr>
              <w:pStyle w:val="TableParagraph"/>
              <w:spacing w:before="51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 </w:t>
            </w:r>
            <w:r w:rsidR="00F04673" w:rsidRPr="00EF22C1">
              <w:rPr>
                <w:rFonts w:ascii="Arial" w:hAnsi="Arial" w:cs="Arial"/>
                <w:sz w:val="12"/>
              </w:rPr>
              <w:t xml:space="preserve">Undergoing </w:t>
            </w:r>
            <w:r w:rsidRPr="00EF22C1">
              <w:rPr>
                <w:rFonts w:ascii="Arial" w:hAnsi="Arial" w:cs="Arial"/>
                <w:sz w:val="12"/>
              </w:rPr>
              <w:t>w</w:t>
            </w:r>
            <w:r w:rsidR="00F04673" w:rsidRPr="00EF22C1">
              <w:rPr>
                <w:rFonts w:ascii="Arial" w:hAnsi="Arial" w:cs="Arial"/>
                <w:sz w:val="12"/>
              </w:rPr>
              <w:t xml:space="preserve">ell </w:t>
            </w:r>
            <w:r w:rsidRPr="00EF22C1">
              <w:rPr>
                <w:rFonts w:ascii="Arial" w:hAnsi="Arial" w:cs="Arial"/>
                <w:sz w:val="12"/>
              </w:rPr>
              <w:t>k</w:t>
            </w:r>
            <w:r w:rsidR="00F04673" w:rsidRPr="00EF22C1">
              <w:rPr>
                <w:rFonts w:ascii="Arial" w:hAnsi="Arial" w:cs="Arial"/>
                <w:sz w:val="12"/>
              </w:rPr>
              <w:t>ill at the time of the incident</w:t>
            </w:r>
          </w:p>
        </w:tc>
        <w:tc>
          <w:tcPr>
            <w:tcW w:w="4143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14:paraId="58A2CBAF" w14:textId="77777777" w:rsidR="004E052A" w:rsidRPr="0084275C" w:rsidRDefault="004E052A" w:rsidP="00BA3B6B">
            <w:pPr>
              <w:pStyle w:val="TableParagraph"/>
              <w:ind w:left="-8" w:right="-58"/>
              <w:jc w:val="center"/>
              <w:rPr>
                <w:noProof/>
              </w:rPr>
            </w:pPr>
          </w:p>
        </w:tc>
      </w:tr>
      <w:tr w:rsidR="004E0372" w14:paraId="1054ABAF" w14:textId="77777777">
        <w:trPr>
          <w:trHeight w:val="346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AA" w14:textId="77777777" w:rsidR="004E0372" w:rsidRPr="00EF22C1" w:rsidRDefault="004E0372">
            <w:pPr>
              <w:pStyle w:val="TableParagraph"/>
              <w:spacing w:before="51"/>
              <w:rPr>
                <w:rFonts w:ascii="Arial" w:hAnsi="Arial" w:cs="Arial"/>
                <w:sz w:val="13"/>
              </w:rPr>
            </w:pPr>
          </w:p>
          <w:p w14:paraId="1054ABAB" w14:textId="77777777" w:rsidR="004E0372" w:rsidRPr="00EF22C1" w:rsidRDefault="00AD4A89">
            <w:pPr>
              <w:pStyle w:val="TableParagraph"/>
              <w:spacing w:line="126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</w:rPr>
              <w:t>Immediate</w:t>
            </w:r>
            <w:r w:rsidRPr="00EF22C1">
              <w:rPr>
                <w:rFonts w:ascii="Arial" w:hAnsi="Arial" w:cs="Arial"/>
                <w:b/>
                <w:color w:val="FFFFFF"/>
                <w:spacing w:val="5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Cause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AD" w14:textId="710CC550" w:rsidR="004E0372" w:rsidRPr="00EF22C1" w:rsidRDefault="0065220A" w:rsidP="00401519">
            <w:pPr>
              <w:pStyle w:val="TableParagraph"/>
              <w:spacing w:line="116" w:lineRule="exact"/>
              <w:ind w:left="44" w:right="3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Stress Corrosion Cracking (SCC) due to the interaction between the   </w:t>
            </w:r>
            <w:r w:rsidR="00401519" w:rsidRPr="00EF22C1">
              <w:rPr>
                <w:rFonts w:ascii="Arial" w:hAnsi="Arial" w:cs="Arial"/>
                <w:sz w:val="12"/>
              </w:rPr>
              <w:t xml:space="preserve"> </w:t>
            </w:r>
            <w:r w:rsidRPr="00EF22C1">
              <w:rPr>
                <w:rFonts w:ascii="Arial" w:hAnsi="Arial" w:cs="Arial"/>
                <w:sz w:val="12"/>
              </w:rPr>
              <w:t>thread</w:t>
            </w:r>
            <w:r w:rsidR="00274E1D" w:rsidRPr="00EF22C1">
              <w:rPr>
                <w:rFonts w:ascii="Arial" w:hAnsi="Arial" w:cs="Arial"/>
                <w:sz w:val="12"/>
              </w:rPr>
              <w:t xml:space="preserve"> lubricant</w:t>
            </w:r>
            <w:r w:rsidRPr="00EF22C1">
              <w:rPr>
                <w:rFonts w:ascii="Arial" w:hAnsi="Arial" w:cs="Arial"/>
                <w:sz w:val="12"/>
              </w:rPr>
              <w:t xml:space="preserve"> and the calcium bromide </w:t>
            </w:r>
            <w:r w:rsidR="00274E1D" w:rsidRPr="00EF22C1">
              <w:rPr>
                <w:rFonts w:ascii="Arial" w:hAnsi="Arial" w:cs="Arial"/>
                <w:sz w:val="12"/>
              </w:rPr>
              <w:t>completion fluid</w:t>
            </w:r>
            <w:r w:rsidRPr="00EF22C1">
              <w:rPr>
                <w:rFonts w:ascii="Arial" w:hAnsi="Arial" w:cs="Arial"/>
                <w:sz w:val="12"/>
              </w:rPr>
              <w:t xml:space="preserve"> (brine) </w:t>
            </w:r>
          </w:p>
        </w:tc>
        <w:tc>
          <w:tcPr>
            <w:tcW w:w="4143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054ABAE" w14:textId="77777777" w:rsidR="004E0372" w:rsidRDefault="004E0372">
            <w:pPr>
              <w:rPr>
                <w:sz w:val="2"/>
                <w:szCs w:val="2"/>
              </w:rPr>
            </w:pPr>
          </w:p>
        </w:tc>
      </w:tr>
      <w:tr w:rsidR="004E0372" w14:paraId="1054ABB5" w14:textId="77777777">
        <w:trPr>
          <w:trHeight w:val="346"/>
        </w:trPr>
        <w:tc>
          <w:tcPr>
            <w:tcW w:w="2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054ABB0" w14:textId="77777777" w:rsidR="004E0372" w:rsidRPr="00EF22C1" w:rsidRDefault="004E0372">
            <w:pPr>
              <w:pStyle w:val="TableParagraph"/>
              <w:spacing w:before="51"/>
              <w:rPr>
                <w:rFonts w:ascii="Arial" w:hAnsi="Arial" w:cs="Arial"/>
                <w:sz w:val="13"/>
              </w:rPr>
            </w:pPr>
          </w:p>
          <w:p w14:paraId="1054ABB1" w14:textId="77777777" w:rsidR="004E0372" w:rsidRPr="00EF22C1" w:rsidRDefault="00AD4A89">
            <w:pPr>
              <w:pStyle w:val="TableParagraph"/>
              <w:spacing w:line="126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</w:rPr>
              <w:t>Similar</w:t>
            </w:r>
            <w:r w:rsidRPr="00EF22C1">
              <w:rPr>
                <w:rFonts w:ascii="Arial" w:hAnsi="Arial" w:cs="Arial"/>
                <w:b/>
                <w:color w:val="FFFFFF"/>
                <w:spacing w:val="3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</w:rPr>
              <w:t>Root</w:t>
            </w:r>
            <w:r w:rsidRPr="00EF22C1">
              <w:rPr>
                <w:rFonts w:ascii="Arial" w:hAnsi="Arial" w:cs="Arial"/>
                <w:b/>
                <w:color w:val="FFFFFF"/>
                <w:spacing w:val="3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</w:rPr>
              <w:t>Cause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Incidents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54ABB3" w14:textId="1688507B" w:rsidR="004E0372" w:rsidRPr="00EF22C1" w:rsidRDefault="00576EDD" w:rsidP="00FD2DE8">
            <w:pPr>
              <w:pStyle w:val="TableParagraph"/>
              <w:spacing w:line="116" w:lineRule="exact"/>
              <w:ind w:left="44" w:right="3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 xml:space="preserve">Vinland, </w:t>
            </w:r>
            <w:r w:rsidR="00D84389" w:rsidRPr="00EF22C1">
              <w:rPr>
                <w:rFonts w:ascii="Arial" w:hAnsi="Arial" w:cs="Arial"/>
                <w:sz w:val="12"/>
              </w:rPr>
              <w:t>Sable Island</w:t>
            </w:r>
            <w:r w:rsidR="00A93637" w:rsidRPr="00EF22C1">
              <w:rPr>
                <w:rFonts w:ascii="Arial" w:hAnsi="Arial" w:cs="Arial"/>
                <w:sz w:val="12"/>
              </w:rPr>
              <w:t>/</w:t>
            </w:r>
            <w:r w:rsidRPr="00EF22C1">
              <w:rPr>
                <w:rFonts w:ascii="Arial" w:hAnsi="Arial" w:cs="Arial"/>
                <w:sz w:val="12"/>
              </w:rPr>
              <w:t>Canada</w:t>
            </w:r>
            <w:r w:rsidR="009A71AE" w:rsidRPr="00EF22C1">
              <w:rPr>
                <w:rFonts w:ascii="Arial" w:hAnsi="Arial" w:cs="Arial"/>
                <w:sz w:val="12"/>
              </w:rPr>
              <w:t xml:space="preserve"> in 1984, </w:t>
            </w:r>
            <w:r w:rsidR="00FD2DE8" w:rsidRPr="00EF22C1">
              <w:rPr>
                <w:rFonts w:ascii="Arial" w:hAnsi="Arial" w:cs="Arial"/>
                <w:sz w:val="12"/>
              </w:rPr>
              <w:t>Montara, Timor Sea</w:t>
            </w:r>
            <w:r w:rsidR="00A93637" w:rsidRPr="00EF22C1">
              <w:rPr>
                <w:rFonts w:ascii="Arial" w:hAnsi="Arial" w:cs="Arial"/>
                <w:sz w:val="12"/>
              </w:rPr>
              <w:t>/</w:t>
            </w:r>
            <w:r w:rsidR="00FD2DE8" w:rsidRPr="00EF22C1">
              <w:rPr>
                <w:rFonts w:ascii="Arial" w:hAnsi="Arial" w:cs="Arial"/>
                <w:sz w:val="12"/>
              </w:rPr>
              <w:t xml:space="preserve">Australia </w:t>
            </w:r>
            <w:r w:rsidR="009A71AE" w:rsidRPr="00EF22C1">
              <w:rPr>
                <w:rFonts w:ascii="Arial" w:hAnsi="Arial" w:cs="Arial"/>
                <w:sz w:val="12"/>
              </w:rPr>
              <w:t xml:space="preserve">in </w:t>
            </w:r>
            <w:r w:rsidR="00FD2DE8" w:rsidRPr="00EF22C1">
              <w:rPr>
                <w:rFonts w:ascii="Arial" w:hAnsi="Arial" w:cs="Arial"/>
                <w:sz w:val="12"/>
              </w:rPr>
              <w:t>2009 and Macondo</w:t>
            </w:r>
            <w:r w:rsidR="00F04673" w:rsidRPr="00EF22C1">
              <w:rPr>
                <w:rFonts w:ascii="Arial" w:hAnsi="Arial" w:cs="Arial"/>
                <w:sz w:val="12"/>
              </w:rPr>
              <w:t>,</w:t>
            </w:r>
            <w:r w:rsidR="00FD2DE8" w:rsidRPr="00EF22C1">
              <w:rPr>
                <w:rFonts w:ascii="Arial" w:hAnsi="Arial" w:cs="Arial"/>
                <w:sz w:val="12"/>
              </w:rPr>
              <w:t xml:space="preserve"> Gulf of Mexico </w:t>
            </w:r>
            <w:r w:rsidR="009A71AE" w:rsidRPr="00EF22C1">
              <w:rPr>
                <w:rFonts w:ascii="Arial" w:hAnsi="Arial" w:cs="Arial"/>
                <w:sz w:val="12"/>
              </w:rPr>
              <w:t xml:space="preserve">in </w:t>
            </w:r>
            <w:r w:rsidR="00FD2DE8" w:rsidRPr="00EF22C1">
              <w:rPr>
                <w:rFonts w:ascii="Arial" w:hAnsi="Arial" w:cs="Arial"/>
                <w:sz w:val="12"/>
              </w:rPr>
              <w:t xml:space="preserve">2010. In </w:t>
            </w:r>
            <w:r w:rsidR="009A71AE" w:rsidRPr="00EF22C1">
              <w:rPr>
                <w:rFonts w:ascii="Arial" w:hAnsi="Arial" w:cs="Arial"/>
                <w:sz w:val="12"/>
              </w:rPr>
              <w:t>all</w:t>
            </w:r>
            <w:r w:rsidR="00FD2DE8" w:rsidRPr="00EF22C1">
              <w:rPr>
                <w:rFonts w:ascii="Arial" w:hAnsi="Arial" w:cs="Arial"/>
                <w:sz w:val="12"/>
              </w:rPr>
              <w:t xml:space="preserve"> cases there was an unexpected influx of well fluids (kick) and loss of hydrocarbons (blowout)</w:t>
            </w:r>
          </w:p>
        </w:tc>
        <w:tc>
          <w:tcPr>
            <w:tcW w:w="4143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054ABB4" w14:textId="77777777" w:rsidR="004E0372" w:rsidRDefault="004E0372">
            <w:pPr>
              <w:rPr>
                <w:sz w:val="2"/>
                <w:szCs w:val="2"/>
              </w:rPr>
            </w:pPr>
          </w:p>
        </w:tc>
      </w:tr>
      <w:tr w:rsidR="004E0372" w14:paraId="1054ABBB" w14:textId="77777777" w:rsidTr="00BA555C">
        <w:trPr>
          <w:trHeight w:val="486"/>
        </w:trPr>
        <w:tc>
          <w:tcPr>
            <w:tcW w:w="2236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808080"/>
          </w:tcPr>
          <w:p w14:paraId="1054ABB6" w14:textId="77777777" w:rsidR="004E0372" w:rsidRPr="00EF22C1" w:rsidRDefault="004E0372">
            <w:pPr>
              <w:pStyle w:val="TableParagraph"/>
              <w:spacing w:before="41"/>
              <w:rPr>
                <w:rFonts w:ascii="Arial" w:hAnsi="Arial" w:cs="Arial"/>
                <w:sz w:val="13"/>
              </w:rPr>
            </w:pPr>
          </w:p>
          <w:p w14:paraId="1054ABB7" w14:textId="02262BA8" w:rsidR="004E0372" w:rsidRPr="00EF22C1" w:rsidRDefault="00BA3B6B">
            <w:pPr>
              <w:pStyle w:val="TableParagraph"/>
              <w:spacing w:line="134" w:lineRule="exact"/>
              <w:ind w:left="9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</w:rPr>
              <w:t>Date Updated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54ABB9" w14:textId="395F733A" w:rsidR="004E0372" w:rsidRPr="00EF22C1" w:rsidRDefault="00182C0E" w:rsidP="0065220A">
            <w:pPr>
              <w:pStyle w:val="TableParagraph"/>
              <w:spacing w:before="134" w:line="131" w:lineRule="exact"/>
              <w:ind w:left="44" w:right="1"/>
              <w:jc w:val="both"/>
              <w:rPr>
                <w:rFonts w:ascii="Arial" w:hAnsi="Arial" w:cs="Arial"/>
                <w:sz w:val="12"/>
              </w:rPr>
            </w:pPr>
            <w:r w:rsidRPr="00EF22C1">
              <w:rPr>
                <w:rFonts w:ascii="Arial" w:hAnsi="Arial" w:cs="Arial"/>
                <w:sz w:val="12"/>
              </w:rPr>
              <w:t>1</w:t>
            </w:r>
            <w:r w:rsidR="0086297B" w:rsidRPr="00EF22C1">
              <w:rPr>
                <w:rFonts w:ascii="Arial" w:hAnsi="Arial" w:cs="Arial"/>
                <w:sz w:val="12"/>
              </w:rPr>
              <w:t>6</w:t>
            </w:r>
            <w:r w:rsidR="002303A8" w:rsidRPr="00EF22C1">
              <w:rPr>
                <w:rFonts w:ascii="Arial" w:hAnsi="Arial" w:cs="Arial"/>
                <w:sz w:val="12"/>
              </w:rPr>
              <w:t xml:space="preserve"> February 2026</w:t>
            </w:r>
          </w:p>
        </w:tc>
        <w:tc>
          <w:tcPr>
            <w:tcW w:w="4143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054ABBA" w14:textId="77777777" w:rsidR="004E0372" w:rsidRDefault="004E0372">
            <w:pPr>
              <w:rPr>
                <w:sz w:val="2"/>
                <w:szCs w:val="2"/>
              </w:rPr>
            </w:pPr>
          </w:p>
        </w:tc>
      </w:tr>
      <w:tr w:rsidR="004E0372" w14:paraId="1054ABBD" w14:textId="77777777">
        <w:trPr>
          <w:trHeight w:val="262"/>
        </w:trPr>
        <w:tc>
          <w:tcPr>
            <w:tcW w:w="9762" w:type="dxa"/>
            <w:gridSpan w:val="4"/>
            <w:tcBorders>
              <w:top w:val="single" w:sz="18" w:space="0" w:color="000000"/>
              <w:bottom w:val="single" w:sz="12" w:space="0" w:color="000000"/>
            </w:tcBorders>
            <w:shd w:val="clear" w:color="auto" w:fill="1F487C"/>
          </w:tcPr>
          <w:p w14:paraId="1054ABBC" w14:textId="77777777" w:rsidR="004E0372" w:rsidRPr="00EF22C1" w:rsidRDefault="00AD4A89">
            <w:pPr>
              <w:pStyle w:val="TableParagraph"/>
              <w:spacing w:line="149" w:lineRule="exact"/>
              <w:ind w:left="27" w:right="12"/>
              <w:jc w:val="center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Incident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Description</w:t>
            </w:r>
          </w:p>
        </w:tc>
      </w:tr>
      <w:tr w:rsidR="004E0372" w14:paraId="1054ABCA" w14:textId="77777777">
        <w:trPr>
          <w:trHeight w:val="3039"/>
        </w:trPr>
        <w:tc>
          <w:tcPr>
            <w:tcW w:w="9762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</w:tcPr>
          <w:p w14:paraId="1054ABBE" w14:textId="77777777" w:rsidR="004E0372" w:rsidRPr="00EF22C1" w:rsidRDefault="004E0372">
            <w:pPr>
              <w:pStyle w:val="TableParagraph"/>
              <w:spacing w:before="11"/>
              <w:rPr>
                <w:rFonts w:ascii="Arial" w:hAnsi="Arial" w:cs="Arial"/>
                <w:sz w:val="12"/>
                <w:szCs w:val="12"/>
              </w:rPr>
            </w:pPr>
          </w:p>
          <w:p w14:paraId="25F4ABCA" w14:textId="209B2671" w:rsidR="006F0C00" w:rsidRPr="00EF22C1" w:rsidRDefault="006F0C00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First </w:t>
            </w:r>
            <w:r w:rsidR="00F604BE" w:rsidRPr="00EF22C1">
              <w:rPr>
                <w:rFonts w:ascii="Arial" w:hAnsi="Arial" w:cs="Arial"/>
                <w:sz w:val="12"/>
                <w:szCs w:val="12"/>
              </w:rPr>
              <w:t xml:space="preserve">gas was exported from the Elgin facilities (including the G4 well) </w:t>
            </w:r>
            <w:r w:rsidR="00AE22AF" w:rsidRPr="00EF22C1">
              <w:rPr>
                <w:rFonts w:ascii="Arial" w:hAnsi="Arial" w:cs="Arial"/>
                <w:sz w:val="12"/>
                <w:szCs w:val="12"/>
              </w:rPr>
              <w:t>in March 2001.</w:t>
            </w:r>
          </w:p>
          <w:p w14:paraId="639C0EEC" w14:textId="77777777" w:rsidR="006F0C00" w:rsidRPr="00EF22C1" w:rsidRDefault="006F0C00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6206C3E3" w14:textId="551CFFC0" w:rsidR="00785285" w:rsidRPr="00EF22C1" w:rsidRDefault="00155AA8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At approximately 12:30 on Sunday 25 March 2012 a</w:t>
            </w:r>
            <w:r w:rsidR="008B40F1" w:rsidRPr="00EF22C1"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="009D0A71" w:rsidRPr="00EF22C1">
              <w:rPr>
                <w:rFonts w:ascii="Arial" w:hAnsi="Arial" w:cs="Arial"/>
                <w:sz w:val="12"/>
                <w:szCs w:val="12"/>
              </w:rPr>
              <w:t>uncontrolled release of hydrocarbons</w:t>
            </w:r>
            <w:r w:rsidR="008B40F1" w:rsidRPr="00EF22C1">
              <w:rPr>
                <w:rFonts w:ascii="Arial" w:hAnsi="Arial" w:cs="Arial"/>
                <w:sz w:val="12"/>
                <w:szCs w:val="12"/>
              </w:rPr>
              <w:t xml:space="preserve"> / blowout </w:t>
            </w:r>
            <w:r w:rsidR="00C846A6" w:rsidRPr="00EF22C1">
              <w:rPr>
                <w:rFonts w:ascii="Arial" w:hAnsi="Arial" w:cs="Arial"/>
                <w:sz w:val="12"/>
                <w:szCs w:val="12"/>
              </w:rPr>
              <w:t>occurred on the Elgin Well Head Platform (EWHP)</w:t>
            </w:r>
            <w:r w:rsidR="009D51D8" w:rsidRPr="00EF22C1">
              <w:rPr>
                <w:rFonts w:ascii="Arial" w:hAnsi="Arial" w:cs="Arial"/>
                <w:sz w:val="12"/>
                <w:szCs w:val="12"/>
              </w:rPr>
              <w:t>, bridge</w:t>
            </w:r>
            <w:r w:rsidR="00C729B8" w:rsidRPr="00EF22C1">
              <w:rPr>
                <w:rFonts w:ascii="Arial" w:hAnsi="Arial" w:cs="Arial"/>
                <w:sz w:val="12"/>
                <w:szCs w:val="12"/>
              </w:rPr>
              <w:t>-li</w:t>
            </w:r>
            <w:r w:rsidR="005121F3" w:rsidRPr="00EF22C1">
              <w:rPr>
                <w:rFonts w:ascii="Arial" w:hAnsi="Arial" w:cs="Arial"/>
                <w:sz w:val="12"/>
                <w:szCs w:val="12"/>
              </w:rPr>
              <w:t xml:space="preserve">nked </w:t>
            </w:r>
            <w:r w:rsidR="00730665" w:rsidRPr="00EF22C1">
              <w:rPr>
                <w:rFonts w:ascii="Arial" w:hAnsi="Arial" w:cs="Arial"/>
                <w:sz w:val="12"/>
                <w:szCs w:val="12"/>
              </w:rPr>
              <w:t>(</w:t>
            </w:r>
            <w:r w:rsidR="003168E5" w:rsidRPr="00EF22C1">
              <w:rPr>
                <w:rFonts w:ascii="Arial" w:hAnsi="Arial" w:cs="Arial"/>
                <w:sz w:val="12"/>
                <w:szCs w:val="12"/>
              </w:rPr>
              <w:t>9</w:t>
            </w:r>
            <w:r w:rsidR="00730665" w:rsidRPr="00EF22C1">
              <w:rPr>
                <w:rFonts w:ascii="Arial" w:hAnsi="Arial" w:cs="Arial"/>
                <w:sz w:val="12"/>
                <w:szCs w:val="12"/>
              </w:rPr>
              <w:t>0m)</w:t>
            </w:r>
            <w:r w:rsidR="009D51D8" w:rsidRPr="00EF22C1">
              <w:rPr>
                <w:rFonts w:ascii="Arial" w:hAnsi="Arial" w:cs="Arial"/>
                <w:sz w:val="12"/>
                <w:szCs w:val="12"/>
              </w:rPr>
              <w:t xml:space="preserve"> to </w:t>
            </w:r>
            <w:r w:rsidR="00F80F16" w:rsidRPr="00EF22C1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8121B8" w:rsidRPr="00EF22C1">
              <w:rPr>
                <w:rFonts w:ascii="Arial" w:hAnsi="Arial" w:cs="Arial"/>
                <w:sz w:val="12"/>
                <w:szCs w:val="12"/>
              </w:rPr>
              <w:t xml:space="preserve">Elgin </w:t>
            </w:r>
            <w:r w:rsidR="00F80F16" w:rsidRPr="00EF22C1">
              <w:rPr>
                <w:rFonts w:ascii="Arial" w:hAnsi="Arial" w:cs="Arial"/>
                <w:sz w:val="12"/>
                <w:szCs w:val="12"/>
              </w:rPr>
              <w:t>Process</w:t>
            </w:r>
            <w:r w:rsidR="00B1518F" w:rsidRPr="00EF22C1">
              <w:rPr>
                <w:rFonts w:ascii="Arial" w:hAnsi="Arial" w:cs="Arial"/>
                <w:sz w:val="12"/>
                <w:szCs w:val="12"/>
              </w:rPr>
              <w:t>/</w:t>
            </w:r>
            <w:r w:rsidR="00F80F16" w:rsidRPr="00EF22C1">
              <w:rPr>
                <w:rFonts w:ascii="Arial" w:hAnsi="Arial" w:cs="Arial"/>
                <w:sz w:val="12"/>
                <w:szCs w:val="12"/>
              </w:rPr>
              <w:t>Utilities</w:t>
            </w:r>
            <w:r w:rsidR="00B1518F" w:rsidRPr="00EF22C1">
              <w:rPr>
                <w:rFonts w:ascii="Arial" w:hAnsi="Arial" w:cs="Arial"/>
                <w:sz w:val="12"/>
                <w:szCs w:val="12"/>
              </w:rPr>
              <w:t>/</w:t>
            </w:r>
            <w:r w:rsidR="00F80F16" w:rsidRPr="00EF22C1">
              <w:rPr>
                <w:rFonts w:ascii="Arial" w:hAnsi="Arial" w:cs="Arial"/>
                <w:sz w:val="12"/>
                <w:szCs w:val="12"/>
              </w:rPr>
              <w:t>Accommodation platform (</w:t>
            </w:r>
            <w:r w:rsidR="008121B8" w:rsidRPr="00EF22C1">
              <w:rPr>
                <w:rFonts w:ascii="Arial" w:hAnsi="Arial" w:cs="Arial"/>
                <w:sz w:val="12"/>
                <w:szCs w:val="12"/>
              </w:rPr>
              <w:t>PUQ)</w:t>
            </w:r>
            <w:r w:rsidR="008F6838" w:rsidRPr="00EF22C1">
              <w:rPr>
                <w:rFonts w:ascii="Arial" w:hAnsi="Arial" w:cs="Arial"/>
                <w:sz w:val="12"/>
                <w:szCs w:val="12"/>
              </w:rPr>
              <w:t>,</w:t>
            </w:r>
            <w:r w:rsidR="00F80F16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D51D8" w:rsidRPr="00EF22C1">
              <w:rPr>
                <w:rFonts w:ascii="Arial" w:hAnsi="Arial" w:cs="Arial"/>
                <w:sz w:val="12"/>
                <w:szCs w:val="12"/>
              </w:rPr>
              <w:t xml:space="preserve">during an attempted </w:t>
            </w:r>
            <w:r w:rsidR="00DA0817" w:rsidRPr="00EF22C1">
              <w:rPr>
                <w:rFonts w:ascii="Arial" w:hAnsi="Arial" w:cs="Arial"/>
                <w:sz w:val="12"/>
                <w:szCs w:val="12"/>
              </w:rPr>
              <w:t xml:space="preserve">intervention on </w:t>
            </w:r>
            <w:r w:rsidR="009D51D8" w:rsidRPr="00EF22C1">
              <w:rPr>
                <w:rFonts w:ascii="Arial" w:hAnsi="Arial" w:cs="Arial"/>
                <w:sz w:val="12"/>
                <w:szCs w:val="12"/>
              </w:rPr>
              <w:t>well G4</w:t>
            </w:r>
            <w:r w:rsidR="000A7528" w:rsidRPr="00EF22C1">
              <w:rPr>
                <w:rFonts w:ascii="Arial" w:hAnsi="Arial" w:cs="Arial"/>
                <w:sz w:val="12"/>
                <w:szCs w:val="12"/>
              </w:rPr>
              <w:t xml:space="preserve"> when </w:t>
            </w:r>
            <w:r w:rsidR="00953383" w:rsidRPr="00EF22C1">
              <w:rPr>
                <w:rFonts w:ascii="Arial" w:hAnsi="Arial" w:cs="Arial"/>
                <w:sz w:val="12"/>
                <w:szCs w:val="12"/>
              </w:rPr>
              <w:t>attended by</w:t>
            </w:r>
            <w:r w:rsidR="004B2CD6" w:rsidRPr="00EF22C1">
              <w:rPr>
                <w:rFonts w:ascii="Arial" w:hAnsi="Arial" w:cs="Arial"/>
                <w:sz w:val="12"/>
                <w:szCs w:val="12"/>
              </w:rPr>
              <w:t xml:space="preserve"> the Rowan Viking </w:t>
            </w:r>
            <w:r w:rsidR="00953383" w:rsidRPr="00EF22C1">
              <w:rPr>
                <w:rFonts w:ascii="Arial" w:hAnsi="Arial" w:cs="Arial"/>
                <w:sz w:val="12"/>
                <w:szCs w:val="12"/>
              </w:rPr>
              <w:t>jack-up drilling rig</w:t>
            </w:r>
            <w:r w:rsidR="00AC633D" w:rsidRPr="00EF22C1">
              <w:rPr>
                <w:rFonts w:ascii="Arial" w:hAnsi="Arial" w:cs="Arial"/>
                <w:sz w:val="12"/>
                <w:szCs w:val="12"/>
              </w:rPr>
              <w:t>.</w:t>
            </w:r>
            <w:r w:rsidR="00DB1B81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33D2B45" w14:textId="77777777" w:rsidR="00B209AE" w:rsidRPr="00EF22C1" w:rsidRDefault="00B209AE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67AE5FD9" w14:textId="2C876306" w:rsidR="0039125D" w:rsidRPr="00EF22C1" w:rsidRDefault="0039125D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The Elgin/Franklin wells consist of </w:t>
            </w:r>
            <w:proofErr w:type="gramStart"/>
            <w:r w:rsidRPr="00EF22C1">
              <w:rPr>
                <w:rFonts w:ascii="Arial" w:hAnsi="Arial" w:cs="Arial"/>
                <w:sz w:val="12"/>
                <w:szCs w:val="12"/>
              </w:rPr>
              <w:t>a production</w:t>
            </w:r>
            <w:proofErr w:type="gramEnd"/>
            <w:r w:rsidRPr="00EF22C1">
              <w:rPr>
                <w:rFonts w:ascii="Arial" w:hAnsi="Arial" w:cs="Arial"/>
                <w:sz w:val="12"/>
                <w:szCs w:val="12"/>
              </w:rPr>
              <w:t xml:space="preserve"> tubing (through which the </w:t>
            </w:r>
            <w:r w:rsidR="00690287" w:rsidRPr="00EF22C1">
              <w:rPr>
                <w:rFonts w:ascii="Arial" w:hAnsi="Arial" w:cs="Arial"/>
                <w:sz w:val="12"/>
                <w:szCs w:val="12"/>
              </w:rPr>
              <w:t xml:space="preserve">production fluids from the reservoir flow to the </w:t>
            </w:r>
            <w:proofErr w:type="gramStart"/>
            <w:r w:rsidR="00690287" w:rsidRPr="00EF22C1">
              <w:rPr>
                <w:rFonts w:ascii="Arial" w:hAnsi="Arial" w:cs="Arial"/>
                <w:sz w:val="12"/>
                <w:szCs w:val="12"/>
              </w:rPr>
              <w:t>topsides</w:t>
            </w:r>
            <w:proofErr w:type="gramEnd"/>
            <w:r w:rsidR="00690287" w:rsidRPr="00EF22C1">
              <w:rPr>
                <w:rFonts w:ascii="Arial" w:hAnsi="Arial" w:cs="Arial"/>
                <w:sz w:val="12"/>
                <w:szCs w:val="12"/>
              </w:rPr>
              <w:t xml:space="preserve"> production facilities) and </w:t>
            </w:r>
            <w:proofErr w:type="gramStart"/>
            <w:r w:rsidR="00690287" w:rsidRPr="00EF22C1">
              <w:rPr>
                <w:rFonts w:ascii="Arial" w:hAnsi="Arial" w:cs="Arial"/>
                <w:sz w:val="12"/>
                <w:szCs w:val="12"/>
              </w:rPr>
              <w:t>a number of</w:t>
            </w:r>
            <w:proofErr w:type="gramEnd"/>
            <w:r w:rsidR="00690287" w:rsidRPr="00EF22C1">
              <w:rPr>
                <w:rFonts w:ascii="Arial" w:hAnsi="Arial" w:cs="Arial"/>
                <w:sz w:val="12"/>
                <w:szCs w:val="12"/>
              </w:rPr>
              <w:t xml:space="preserve"> casing strings of different diameter and associated well annuli</w:t>
            </w:r>
            <w:r w:rsidR="00B209AE" w:rsidRPr="00EF22C1">
              <w:rPr>
                <w:rFonts w:ascii="Arial" w:hAnsi="Arial" w:cs="Arial"/>
                <w:sz w:val="12"/>
                <w:szCs w:val="12"/>
              </w:rPr>
              <w:t xml:space="preserve"> designated as A, B and C</w:t>
            </w:r>
            <w:r w:rsidR="00BF1858" w:rsidRPr="00EF22C1">
              <w:rPr>
                <w:rFonts w:ascii="Arial" w:hAnsi="Arial" w:cs="Arial"/>
                <w:sz w:val="12"/>
                <w:szCs w:val="12"/>
              </w:rPr>
              <w:t xml:space="preserve"> (inner to outer)</w:t>
            </w:r>
            <w:r w:rsidR="00AC633D" w:rsidRPr="00EF22C1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57B3EED" w14:textId="77777777" w:rsidR="00785285" w:rsidRPr="00EF22C1" w:rsidRDefault="00785285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5E810A6D" w14:textId="48B4E615" w:rsidR="008E00FA" w:rsidRPr="00EF22C1" w:rsidRDefault="00DB1B81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9D02AA" w:rsidRPr="00EF22C1">
              <w:rPr>
                <w:rFonts w:ascii="Arial" w:hAnsi="Arial" w:cs="Arial"/>
                <w:sz w:val="12"/>
                <w:szCs w:val="12"/>
              </w:rPr>
              <w:t xml:space="preserve">G4 </w:t>
            </w:r>
            <w:r w:rsidRPr="00EF22C1">
              <w:rPr>
                <w:rFonts w:ascii="Arial" w:hAnsi="Arial" w:cs="Arial"/>
                <w:sz w:val="12"/>
                <w:szCs w:val="12"/>
              </w:rPr>
              <w:t>well was not in operation</w:t>
            </w:r>
            <w:r w:rsidR="00655549" w:rsidRPr="00EF22C1">
              <w:rPr>
                <w:rFonts w:ascii="Arial" w:hAnsi="Arial" w:cs="Arial"/>
                <w:sz w:val="12"/>
                <w:szCs w:val="12"/>
              </w:rPr>
              <w:t xml:space="preserve"> at the </w:t>
            </w:r>
            <w:r w:rsidR="0099749E" w:rsidRPr="00EF22C1">
              <w:rPr>
                <w:rFonts w:ascii="Arial" w:hAnsi="Arial" w:cs="Arial"/>
                <w:sz w:val="12"/>
                <w:szCs w:val="12"/>
              </w:rPr>
              <w:t>time of the loss</w:t>
            </w:r>
            <w:r w:rsidR="00682C7D" w:rsidRPr="00EF22C1">
              <w:rPr>
                <w:rFonts w:ascii="Arial" w:hAnsi="Arial" w:cs="Arial"/>
                <w:sz w:val="12"/>
                <w:szCs w:val="12"/>
              </w:rPr>
              <w:t xml:space="preserve"> of well </w:t>
            </w:r>
            <w:r w:rsidR="006563FF" w:rsidRPr="00EF22C1">
              <w:rPr>
                <w:rFonts w:ascii="Arial" w:hAnsi="Arial" w:cs="Arial"/>
                <w:sz w:val="12"/>
                <w:szCs w:val="12"/>
              </w:rPr>
              <w:t>control and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had been isolated for a year</w:t>
            </w:r>
            <w:r w:rsidR="00A44D3A" w:rsidRPr="00EF22C1">
              <w:rPr>
                <w:rFonts w:ascii="Arial" w:hAnsi="Arial" w:cs="Arial"/>
                <w:sz w:val="12"/>
                <w:szCs w:val="12"/>
              </w:rPr>
              <w:t xml:space="preserve"> prior to the </w:t>
            </w:r>
            <w:r w:rsidR="00EF7034" w:rsidRPr="00EF22C1">
              <w:rPr>
                <w:rFonts w:ascii="Arial" w:hAnsi="Arial" w:cs="Arial"/>
                <w:sz w:val="12"/>
                <w:szCs w:val="12"/>
              </w:rPr>
              <w:t>incident.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547B2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87320" w:rsidRPr="00EF22C1">
              <w:rPr>
                <w:rFonts w:ascii="Arial" w:hAnsi="Arial" w:cs="Arial"/>
                <w:sz w:val="12"/>
                <w:szCs w:val="12"/>
              </w:rPr>
              <w:t>A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chalk </w:t>
            </w:r>
            <w:r w:rsidR="00686C88" w:rsidRPr="00EF22C1">
              <w:rPr>
                <w:rFonts w:ascii="Arial" w:hAnsi="Arial" w:cs="Arial"/>
                <w:sz w:val="12"/>
                <w:szCs w:val="12"/>
              </w:rPr>
              <w:t xml:space="preserve">interval </w:t>
            </w:r>
            <w:r w:rsidR="00AE0B47" w:rsidRPr="00EF22C1">
              <w:rPr>
                <w:rFonts w:ascii="Arial" w:hAnsi="Arial" w:cs="Arial"/>
                <w:sz w:val="12"/>
                <w:szCs w:val="12"/>
              </w:rPr>
              <w:t xml:space="preserve">(within the overlaying rock formations) </w:t>
            </w:r>
            <w:r w:rsidR="006F485F" w:rsidRPr="00EF22C1">
              <w:rPr>
                <w:rFonts w:ascii="Arial" w:hAnsi="Arial" w:cs="Arial"/>
                <w:sz w:val="12"/>
                <w:szCs w:val="12"/>
              </w:rPr>
              <w:t xml:space="preserve">began to unexpectedly leak gas </w:t>
            </w:r>
            <w:r w:rsidR="00F76BC0" w:rsidRPr="00EF22C1">
              <w:rPr>
                <w:rFonts w:ascii="Arial" w:hAnsi="Arial" w:cs="Arial"/>
                <w:sz w:val="12"/>
                <w:szCs w:val="12"/>
              </w:rPr>
              <w:t xml:space="preserve">flowing via </w:t>
            </w:r>
            <w:r w:rsidR="009552C3" w:rsidRPr="00EF22C1">
              <w:rPr>
                <w:rFonts w:ascii="Arial" w:hAnsi="Arial" w:cs="Arial"/>
                <w:sz w:val="12"/>
                <w:szCs w:val="12"/>
              </w:rPr>
              <w:t>the</w:t>
            </w:r>
            <w:r w:rsidR="00F76BC0" w:rsidRPr="00EF22C1">
              <w:rPr>
                <w:rFonts w:ascii="Arial" w:hAnsi="Arial" w:cs="Arial"/>
                <w:sz w:val="12"/>
                <w:szCs w:val="12"/>
              </w:rPr>
              <w:t xml:space="preserve"> well an</w:t>
            </w:r>
            <w:r w:rsidR="001B6DD3" w:rsidRPr="00EF22C1">
              <w:rPr>
                <w:rFonts w:ascii="Arial" w:hAnsi="Arial" w:cs="Arial"/>
                <w:sz w:val="12"/>
                <w:szCs w:val="12"/>
              </w:rPr>
              <w:t xml:space="preserve">nuli </w:t>
            </w:r>
            <w:r w:rsidR="008D7DEC" w:rsidRPr="00EF22C1">
              <w:rPr>
                <w:rFonts w:ascii="Arial" w:hAnsi="Arial" w:cs="Arial"/>
                <w:sz w:val="12"/>
                <w:szCs w:val="12"/>
              </w:rPr>
              <w:t xml:space="preserve">into </w:t>
            </w:r>
            <w:r w:rsidR="00F76BC0" w:rsidRPr="00EF22C1">
              <w:rPr>
                <w:rFonts w:ascii="Arial" w:hAnsi="Arial" w:cs="Arial"/>
                <w:sz w:val="12"/>
                <w:szCs w:val="12"/>
              </w:rPr>
              <w:t>the D annulus</w:t>
            </w:r>
            <w:r w:rsidR="00EE2C90" w:rsidRPr="00EF22C1">
              <w:rPr>
                <w:rFonts w:ascii="Arial" w:hAnsi="Arial" w:cs="Arial"/>
                <w:sz w:val="12"/>
                <w:szCs w:val="12"/>
              </w:rPr>
              <w:t xml:space="preserve"> (between the 20</w:t>
            </w:r>
            <w:r w:rsidR="003A6B16" w:rsidRPr="00EF22C1">
              <w:rPr>
                <w:rFonts w:ascii="Arial" w:hAnsi="Arial" w:cs="Arial"/>
                <w:sz w:val="12"/>
                <w:szCs w:val="12"/>
              </w:rPr>
              <w:t>”</w:t>
            </w:r>
            <w:r w:rsidR="00EE2C90" w:rsidRPr="00EF22C1">
              <w:rPr>
                <w:rFonts w:ascii="Arial" w:hAnsi="Arial" w:cs="Arial"/>
                <w:sz w:val="12"/>
                <w:szCs w:val="12"/>
              </w:rPr>
              <w:t xml:space="preserve"> casing and the 30</w:t>
            </w:r>
            <w:r w:rsidR="003A6B16" w:rsidRPr="00EF22C1">
              <w:rPr>
                <w:rFonts w:ascii="Arial" w:hAnsi="Arial" w:cs="Arial"/>
                <w:sz w:val="12"/>
                <w:szCs w:val="12"/>
              </w:rPr>
              <w:t>”</w:t>
            </w:r>
            <w:r w:rsidR="00EE2C90" w:rsidRPr="00EF22C1">
              <w:rPr>
                <w:rFonts w:ascii="Arial" w:hAnsi="Arial" w:cs="Arial"/>
                <w:sz w:val="12"/>
                <w:szCs w:val="12"/>
              </w:rPr>
              <w:t xml:space="preserve"> conductor)</w:t>
            </w:r>
            <w:r w:rsidR="00814F20" w:rsidRPr="00EF22C1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987320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E2AD8" w:rsidRPr="00EF22C1">
              <w:rPr>
                <w:rFonts w:ascii="Arial" w:hAnsi="Arial" w:cs="Arial"/>
                <w:sz w:val="12"/>
                <w:szCs w:val="12"/>
              </w:rPr>
              <w:t>As the</w:t>
            </w:r>
            <w:r w:rsidR="00814F20" w:rsidRPr="00EF22C1">
              <w:rPr>
                <w:rFonts w:ascii="Arial" w:hAnsi="Arial" w:cs="Arial"/>
                <w:sz w:val="12"/>
                <w:szCs w:val="12"/>
              </w:rPr>
              <w:t xml:space="preserve"> 30</w:t>
            </w:r>
            <w:r w:rsidR="003A6B16" w:rsidRPr="00EF22C1">
              <w:rPr>
                <w:rFonts w:ascii="Arial" w:hAnsi="Arial" w:cs="Arial"/>
                <w:sz w:val="12"/>
                <w:szCs w:val="12"/>
              </w:rPr>
              <w:t>”</w:t>
            </w:r>
            <w:r w:rsidR="00814F20" w:rsidRPr="00EF22C1">
              <w:rPr>
                <w:rFonts w:ascii="Arial" w:hAnsi="Arial" w:cs="Arial"/>
                <w:sz w:val="12"/>
                <w:szCs w:val="12"/>
              </w:rPr>
              <w:t xml:space="preserve"> conductor is not part of any hy</w:t>
            </w:r>
            <w:r w:rsidR="00D9274C" w:rsidRPr="00EF22C1">
              <w:rPr>
                <w:rFonts w:ascii="Arial" w:hAnsi="Arial" w:cs="Arial"/>
                <w:sz w:val="12"/>
                <w:szCs w:val="12"/>
              </w:rPr>
              <w:t>d</w:t>
            </w:r>
            <w:r w:rsidR="00814F20" w:rsidRPr="00EF22C1">
              <w:rPr>
                <w:rFonts w:ascii="Arial" w:hAnsi="Arial" w:cs="Arial"/>
                <w:sz w:val="12"/>
                <w:szCs w:val="12"/>
              </w:rPr>
              <w:t xml:space="preserve">rocarbon containment </w:t>
            </w:r>
            <w:r w:rsidR="00FF6E97" w:rsidRPr="00EF22C1">
              <w:rPr>
                <w:rFonts w:ascii="Arial" w:hAnsi="Arial" w:cs="Arial"/>
                <w:sz w:val="12"/>
                <w:szCs w:val="12"/>
              </w:rPr>
              <w:t>system,</w:t>
            </w:r>
            <w:r w:rsidR="00D9274C" w:rsidRPr="00EF22C1">
              <w:rPr>
                <w:rFonts w:ascii="Arial" w:hAnsi="Arial" w:cs="Arial"/>
                <w:sz w:val="12"/>
                <w:szCs w:val="12"/>
              </w:rPr>
              <w:t xml:space="preserve"> the wellhead ports are open to atmosphere</w:t>
            </w:r>
            <w:r w:rsidR="00DF397A" w:rsidRPr="00EF22C1">
              <w:rPr>
                <w:rFonts w:ascii="Arial" w:hAnsi="Arial" w:cs="Arial"/>
                <w:sz w:val="12"/>
                <w:szCs w:val="12"/>
              </w:rPr>
              <w:t xml:space="preserve"> through which pressurized hydrocarbons entering the D annulus</w:t>
            </w:r>
            <w:r w:rsidR="009F014E" w:rsidRPr="00EF22C1">
              <w:rPr>
                <w:rFonts w:ascii="Arial" w:hAnsi="Arial" w:cs="Arial"/>
                <w:sz w:val="12"/>
                <w:szCs w:val="12"/>
              </w:rPr>
              <w:t xml:space="preserve"> were released</w:t>
            </w:r>
            <w:r w:rsidR="00D20561" w:rsidRPr="00EF22C1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357949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83E47" w:rsidRPr="00EF22C1">
              <w:rPr>
                <w:rFonts w:ascii="Arial" w:hAnsi="Arial" w:cs="Arial"/>
                <w:sz w:val="12"/>
                <w:szCs w:val="12"/>
              </w:rPr>
              <w:t>The leak path from chalk inter</w:t>
            </w:r>
            <w:r w:rsidR="00334BE5" w:rsidRPr="00EF22C1">
              <w:rPr>
                <w:rFonts w:ascii="Arial" w:hAnsi="Arial" w:cs="Arial"/>
                <w:sz w:val="12"/>
                <w:szCs w:val="12"/>
              </w:rPr>
              <w:t xml:space="preserve">val to atmosphere was </w:t>
            </w:r>
            <w:r w:rsidR="00DE04A8" w:rsidRPr="00EF22C1">
              <w:rPr>
                <w:rFonts w:ascii="Arial" w:hAnsi="Arial" w:cs="Arial"/>
                <w:sz w:val="12"/>
                <w:szCs w:val="12"/>
              </w:rPr>
              <w:t>complex and</w:t>
            </w:r>
            <w:r w:rsidR="00527D37" w:rsidRPr="00EF22C1">
              <w:rPr>
                <w:rFonts w:ascii="Arial" w:hAnsi="Arial" w:cs="Arial"/>
                <w:sz w:val="12"/>
                <w:szCs w:val="12"/>
              </w:rPr>
              <w:t xml:space="preserve"> involved </w:t>
            </w:r>
            <w:r w:rsidR="00161BE6" w:rsidRPr="00EF22C1">
              <w:rPr>
                <w:rFonts w:ascii="Arial" w:hAnsi="Arial" w:cs="Arial"/>
                <w:sz w:val="12"/>
                <w:szCs w:val="12"/>
              </w:rPr>
              <w:t xml:space="preserve">sequential </w:t>
            </w:r>
            <w:r w:rsidR="00167344" w:rsidRPr="00EF22C1">
              <w:rPr>
                <w:rFonts w:ascii="Arial" w:hAnsi="Arial" w:cs="Arial"/>
                <w:sz w:val="12"/>
                <w:szCs w:val="12"/>
              </w:rPr>
              <w:t xml:space="preserve">failure of the three </w:t>
            </w:r>
            <w:r w:rsidR="00161BE6" w:rsidRPr="00EF22C1">
              <w:rPr>
                <w:rFonts w:ascii="Arial" w:hAnsi="Arial" w:cs="Arial"/>
                <w:sz w:val="12"/>
                <w:szCs w:val="12"/>
              </w:rPr>
              <w:t>main (</w:t>
            </w:r>
            <w:r w:rsidR="00167344" w:rsidRPr="00EF22C1">
              <w:rPr>
                <w:rFonts w:ascii="Arial" w:hAnsi="Arial" w:cs="Arial"/>
                <w:sz w:val="12"/>
                <w:szCs w:val="12"/>
              </w:rPr>
              <w:t>A, B</w:t>
            </w:r>
            <w:r w:rsidR="00D21087" w:rsidRPr="00EF22C1">
              <w:rPr>
                <w:rFonts w:ascii="Arial" w:hAnsi="Arial" w:cs="Arial"/>
                <w:sz w:val="12"/>
                <w:szCs w:val="12"/>
              </w:rPr>
              <w:t xml:space="preserve"> &amp; C</w:t>
            </w:r>
            <w:r w:rsidR="00161BE6" w:rsidRPr="00EF22C1">
              <w:rPr>
                <w:rFonts w:ascii="Arial" w:hAnsi="Arial" w:cs="Arial"/>
                <w:sz w:val="12"/>
                <w:szCs w:val="12"/>
              </w:rPr>
              <w:t>)</w:t>
            </w:r>
            <w:r w:rsidR="00D21087" w:rsidRPr="00EF22C1">
              <w:rPr>
                <w:rFonts w:ascii="Arial" w:hAnsi="Arial" w:cs="Arial"/>
                <w:sz w:val="12"/>
                <w:szCs w:val="12"/>
              </w:rPr>
              <w:t xml:space="preserve"> casings.</w:t>
            </w:r>
          </w:p>
          <w:p w14:paraId="32A2C618" w14:textId="77777777" w:rsidR="006D7DF6" w:rsidRPr="00EF22C1" w:rsidRDefault="006D7DF6" w:rsidP="00B712B6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0434723B" w14:textId="239A3338" w:rsidR="000E212C" w:rsidRPr="00EF22C1" w:rsidRDefault="00DC5CC7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Following the hydrocarbon release</w:t>
            </w:r>
            <w:r w:rsidR="00D639AF" w:rsidRPr="00EF22C1">
              <w:rPr>
                <w:rFonts w:ascii="Arial" w:hAnsi="Arial" w:cs="Arial"/>
                <w:sz w:val="12"/>
                <w:szCs w:val="12"/>
              </w:rPr>
              <w:t xml:space="preserve"> the platform was shutdown and </w:t>
            </w:r>
            <w:r w:rsidR="0037128A" w:rsidRPr="00EF22C1">
              <w:rPr>
                <w:rFonts w:ascii="Arial" w:hAnsi="Arial" w:cs="Arial"/>
                <w:sz w:val="12"/>
                <w:szCs w:val="12"/>
              </w:rPr>
              <w:t>depressurized.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7128A" w:rsidRPr="00EF22C1">
              <w:rPr>
                <w:rFonts w:ascii="Arial" w:hAnsi="Arial" w:cs="Arial"/>
                <w:sz w:val="12"/>
                <w:szCs w:val="12"/>
              </w:rPr>
              <w:t>A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 xml:space="preserve">ll workers (238 people) were </w:t>
            </w:r>
            <w:r w:rsidR="00C057F3" w:rsidRPr="00EF22C1">
              <w:rPr>
                <w:rFonts w:ascii="Arial" w:hAnsi="Arial" w:cs="Arial"/>
                <w:sz w:val="12"/>
                <w:szCs w:val="12"/>
              </w:rPr>
              <w:t>evacuated</w:t>
            </w:r>
            <w:r w:rsidR="00CA3EFE" w:rsidRPr="00EF22C1">
              <w:rPr>
                <w:rFonts w:ascii="Arial" w:hAnsi="Arial" w:cs="Arial"/>
                <w:sz w:val="12"/>
                <w:szCs w:val="12"/>
              </w:rPr>
              <w:t xml:space="preserve"> from the platform and rig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 xml:space="preserve"> and</w:t>
            </w:r>
            <w:r w:rsidR="00A35DFC" w:rsidRPr="00EF22C1">
              <w:rPr>
                <w:rFonts w:ascii="Arial" w:hAnsi="Arial" w:cs="Arial"/>
                <w:sz w:val="12"/>
                <w:szCs w:val="12"/>
              </w:rPr>
              <w:t xml:space="preserve"> the coastguard imposed </w:t>
            </w:r>
            <w:r w:rsidR="00B04250" w:rsidRPr="00EF22C1">
              <w:rPr>
                <w:rFonts w:ascii="Arial" w:hAnsi="Arial" w:cs="Arial"/>
                <w:sz w:val="12"/>
                <w:szCs w:val="12"/>
              </w:rPr>
              <w:t>a</w:t>
            </w:r>
            <w:r w:rsidR="00A35DFC" w:rsidRPr="00EF22C1">
              <w:rPr>
                <w:rFonts w:ascii="Arial" w:hAnsi="Arial" w:cs="Arial"/>
                <w:sz w:val="12"/>
                <w:szCs w:val="12"/>
              </w:rPr>
              <w:t xml:space="preserve"> shipping and aircraft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 xml:space="preserve"> exclusion zone (3.2km</w:t>
            </w:r>
            <w:r w:rsidR="00B04250" w:rsidRPr="00EF22C1">
              <w:rPr>
                <w:rFonts w:ascii="Arial" w:hAnsi="Arial" w:cs="Arial"/>
                <w:sz w:val="12"/>
                <w:szCs w:val="12"/>
              </w:rPr>
              <w:t>) around</w:t>
            </w:r>
            <w:r w:rsidR="003428A2" w:rsidRPr="00EF22C1">
              <w:rPr>
                <w:rFonts w:ascii="Arial" w:hAnsi="Arial" w:cs="Arial"/>
                <w:sz w:val="12"/>
                <w:szCs w:val="12"/>
              </w:rPr>
              <w:t xml:space="preserve"> the Elgin platform</w:t>
            </w:r>
            <w:r w:rsidR="00BB7381" w:rsidRPr="00EF22C1">
              <w:rPr>
                <w:rFonts w:ascii="Arial" w:hAnsi="Arial" w:cs="Arial"/>
                <w:sz w:val="12"/>
                <w:szCs w:val="12"/>
              </w:rPr>
              <w:t>.</w:t>
            </w:r>
            <w:r w:rsidR="00A95C36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92056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428A2" w:rsidRPr="00EF22C1">
              <w:rPr>
                <w:rFonts w:ascii="Arial" w:hAnsi="Arial" w:cs="Arial"/>
                <w:sz w:val="12"/>
                <w:szCs w:val="12"/>
              </w:rPr>
              <w:t>Non-essential personnel from n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 xml:space="preserve">earby </w:t>
            </w:r>
            <w:r w:rsidR="004C3807" w:rsidRPr="00EF22C1">
              <w:rPr>
                <w:rFonts w:ascii="Arial" w:hAnsi="Arial" w:cs="Arial"/>
                <w:sz w:val="12"/>
                <w:szCs w:val="12"/>
              </w:rPr>
              <w:t>Shearwater Platfo</w:t>
            </w:r>
            <w:r w:rsidR="00FA1873" w:rsidRPr="00EF22C1">
              <w:rPr>
                <w:rFonts w:ascii="Arial" w:hAnsi="Arial" w:cs="Arial"/>
                <w:sz w:val="12"/>
                <w:szCs w:val="12"/>
              </w:rPr>
              <w:t>r</w:t>
            </w:r>
            <w:r w:rsidR="004C3807" w:rsidRPr="00EF22C1">
              <w:rPr>
                <w:rFonts w:ascii="Arial" w:hAnsi="Arial" w:cs="Arial"/>
                <w:sz w:val="12"/>
                <w:szCs w:val="12"/>
              </w:rPr>
              <w:t>m and Hans Deul Drilling Rig</w:t>
            </w:r>
            <w:r w:rsidR="00FA1873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428A2" w:rsidRPr="00EF22C1">
              <w:rPr>
                <w:rFonts w:ascii="Arial" w:hAnsi="Arial" w:cs="Arial"/>
                <w:sz w:val="12"/>
                <w:szCs w:val="12"/>
              </w:rPr>
              <w:t>were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 xml:space="preserve"> also evacuated. All power was shut down</w:t>
            </w:r>
            <w:r w:rsidR="00155AA8" w:rsidRPr="00EF22C1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012F35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55AA8" w:rsidRPr="00EF22C1">
              <w:rPr>
                <w:rFonts w:ascii="Arial" w:hAnsi="Arial" w:cs="Arial"/>
                <w:sz w:val="12"/>
                <w:szCs w:val="12"/>
              </w:rPr>
              <w:t>Th</w:t>
            </w:r>
            <w:r w:rsidR="000172D7" w:rsidRPr="00EF22C1">
              <w:rPr>
                <w:rFonts w:ascii="Arial" w:hAnsi="Arial" w:cs="Arial"/>
                <w:sz w:val="12"/>
                <w:szCs w:val="12"/>
              </w:rPr>
              <w:t>e flare continued to burn until 30 March</w:t>
            </w:r>
            <w:r w:rsidR="003377B5" w:rsidRPr="00EF22C1">
              <w:rPr>
                <w:rFonts w:ascii="Arial" w:hAnsi="Arial" w:cs="Arial"/>
                <w:sz w:val="12"/>
                <w:szCs w:val="12"/>
              </w:rPr>
              <w:t xml:space="preserve"> 2012</w:t>
            </w:r>
            <w:r w:rsidR="00B1518F" w:rsidRPr="00EF22C1">
              <w:rPr>
                <w:rFonts w:ascii="Arial" w:hAnsi="Arial" w:cs="Arial"/>
                <w:sz w:val="12"/>
                <w:szCs w:val="12"/>
              </w:rPr>
              <w:t>.</w:t>
            </w:r>
            <w:r w:rsidR="002B51AA" w:rsidRPr="00EF22C1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37A2A2A5" w14:textId="77777777" w:rsidR="000E212C" w:rsidRPr="00EF22C1" w:rsidRDefault="000E212C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617702BD" w14:textId="3995612D" w:rsidR="00850090" w:rsidRPr="00EF22C1" w:rsidRDefault="00850090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The hydrocarbon release continued for approximately 51 days until the well kill (using heavy mud) was completed on 15 May 2012</w:t>
            </w:r>
            <w:r w:rsidR="00A1216F" w:rsidRPr="00EF22C1">
              <w:rPr>
                <w:rFonts w:ascii="Arial" w:hAnsi="Arial" w:cs="Arial"/>
                <w:sz w:val="12"/>
                <w:szCs w:val="12"/>
              </w:rPr>
              <w:t>.</w:t>
            </w:r>
            <w:r w:rsidR="008B73D5" w:rsidRPr="00EF22C1">
              <w:rPr>
                <w:rFonts w:ascii="Arial" w:hAnsi="Arial" w:cs="Arial"/>
                <w:sz w:val="12"/>
                <w:szCs w:val="12"/>
              </w:rPr>
              <w:t xml:space="preserve">  This was a </w:t>
            </w:r>
            <w:r w:rsidR="002C305C" w:rsidRPr="00EF22C1">
              <w:rPr>
                <w:rFonts w:ascii="Arial" w:hAnsi="Arial" w:cs="Arial"/>
                <w:sz w:val="12"/>
                <w:szCs w:val="12"/>
              </w:rPr>
              <w:t xml:space="preserve">complex and hazardous </w:t>
            </w:r>
            <w:r w:rsidR="00012F35" w:rsidRPr="00EF22C1">
              <w:rPr>
                <w:rFonts w:ascii="Arial" w:hAnsi="Arial" w:cs="Arial"/>
                <w:sz w:val="12"/>
                <w:szCs w:val="12"/>
              </w:rPr>
              <w:t>operation and</w:t>
            </w:r>
            <w:r w:rsidR="00750F10" w:rsidRPr="00EF22C1">
              <w:rPr>
                <w:rFonts w:ascii="Arial" w:hAnsi="Arial" w:cs="Arial"/>
                <w:sz w:val="12"/>
                <w:szCs w:val="12"/>
              </w:rPr>
              <w:t xml:space="preserve"> required gas dispersion modelling to ensure safe location and operation of the </w:t>
            </w:r>
            <w:r w:rsidR="00967FD8" w:rsidRPr="00EF22C1">
              <w:rPr>
                <w:rFonts w:ascii="Arial" w:hAnsi="Arial" w:cs="Arial"/>
                <w:sz w:val="12"/>
                <w:szCs w:val="12"/>
              </w:rPr>
              <w:t xml:space="preserve">West Phoenix </w:t>
            </w:r>
            <w:r w:rsidR="00AB1E4E" w:rsidRPr="00EF22C1">
              <w:rPr>
                <w:rFonts w:ascii="Arial" w:hAnsi="Arial" w:cs="Arial"/>
                <w:sz w:val="12"/>
                <w:szCs w:val="12"/>
              </w:rPr>
              <w:t>semi-submersible rig providing the kill mud.</w:t>
            </w:r>
          </w:p>
          <w:p w14:paraId="08DCCA31" w14:textId="77777777" w:rsidR="00A95C36" w:rsidRPr="00EF22C1" w:rsidRDefault="00A95C36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1A46EE65" w14:textId="46CE8E71" w:rsidR="00A95C36" w:rsidRPr="00EF22C1" w:rsidRDefault="00A95C36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Sequence of events</w:t>
            </w:r>
            <w:r w:rsidR="0056263C" w:rsidRPr="00EF22C1">
              <w:rPr>
                <w:rFonts w:ascii="Arial" w:hAnsi="Arial" w:cs="Arial"/>
                <w:sz w:val="12"/>
                <w:szCs w:val="12"/>
              </w:rPr>
              <w:t xml:space="preserve"> for the G4 well</w:t>
            </w:r>
            <w:r w:rsidR="00291C00" w:rsidRPr="00EF22C1">
              <w:rPr>
                <w:rFonts w:ascii="Arial" w:hAnsi="Arial" w:cs="Arial"/>
                <w:sz w:val="12"/>
                <w:szCs w:val="12"/>
              </w:rPr>
              <w:t xml:space="preserve">  - </w:t>
            </w:r>
            <w:r w:rsidR="00291C00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pre-event</w:t>
            </w:r>
            <w:r w:rsidR="00291C00" w:rsidRPr="00EF22C1">
              <w:rPr>
                <w:rFonts w:ascii="Arial" w:hAnsi="Arial" w:cs="Arial"/>
                <w:sz w:val="12"/>
                <w:szCs w:val="12"/>
              </w:rPr>
              <w:t xml:space="preserve"> and event</w:t>
            </w:r>
            <w:r w:rsidRPr="00EF22C1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3595DAC9" w14:textId="77777777" w:rsidR="00242FA1" w:rsidRPr="00EF22C1" w:rsidRDefault="00242FA1" w:rsidP="00850090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  <w:p w14:paraId="369DA595" w14:textId="33A9375F" w:rsidR="00A53998" w:rsidRPr="00EF22C1" w:rsidRDefault="00E00588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Jan 2011:  7” Liner collapsed </w:t>
            </w:r>
          </w:p>
          <w:p w14:paraId="0BA54015" w14:textId="58E5D0A9" w:rsidR="0056263C" w:rsidRPr="00EF22C1" w:rsidRDefault="0056263C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Feb 2011: Deep plug set </w:t>
            </w:r>
            <w:r w:rsidR="004049C1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to isolate Fulmar reservoir</w:t>
            </w:r>
          </w:p>
          <w:p w14:paraId="18366D59" w14:textId="02E43F1B" w:rsidR="00146D2F" w:rsidRPr="00EF22C1" w:rsidRDefault="003E3797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25 Feb 2012: </w:t>
            </w:r>
            <w:r w:rsidR="00577F0B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10¾” </w:t>
            </w:r>
            <w:r w:rsidR="00663D32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Production </w:t>
            </w: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Casing</w:t>
            </w:r>
            <w:r w:rsidR="004817AC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(A)</w:t>
            </w: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failure and communication across </w:t>
            </w:r>
            <w:r w:rsidR="004817AC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B &amp; C</w:t>
            </w:r>
            <w:r w:rsidR="00146D2F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annuli</w:t>
            </w:r>
            <w:r w:rsidR="00D021CA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, albeit hydrocarbons </w:t>
            </w:r>
            <w:r w:rsidR="00987320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contained,</w:t>
            </w:r>
            <w:r w:rsidR="00D021CA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and </w:t>
            </w:r>
            <w:r w:rsidR="000A115E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pressure initially controlled by bleeding</w:t>
            </w:r>
          </w:p>
          <w:p w14:paraId="0B7E8841" w14:textId="77777777" w:rsidR="00146D2F" w:rsidRPr="00EF22C1" w:rsidRDefault="003E3797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i/>
                <w:iCs/>
                <w:sz w:val="12"/>
                <w:szCs w:val="12"/>
              </w:rPr>
              <w:t>05 Mar 2012: Well intervention started</w:t>
            </w:r>
            <w:r w:rsidR="007C7E94" w:rsidRPr="00EF22C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from attending jack-up drilling rig</w:t>
            </w:r>
          </w:p>
          <w:p w14:paraId="317BA4FC" w14:textId="04E616BF" w:rsidR="00146D2F" w:rsidRPr="00EF22C1" w:rsidRDefault="003E3797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F22C1">
              <w:rPr>
                <w:rFonts w:ascii="Arial" w:hAnsi="Arial" w:cs="Arial"/>
                <w:b/>
                <w:bCs/>
                <w:sz w:val="12"/>
                <w:szCs w:val="12"/>
              </w:rPr>
              <w:t>25 Mar 2012: Uncontrolled gas release</w:t>
            </w:r>
            <w:r w:rsidR="001638AD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after failure </w:t>
            </w:r>
            <w:r w:rsidR="001A1365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>of C</w:t>
            </w:r>
            <w:r w:rsidR="001638AD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annulus</w:t>
            </w:r>
            <w:r w:rsidR="001A1365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due to over pres</w:t>
            </w:r>
            <w:r w:rsidR="00146D2F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 w:rsidR="001A1365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>ure</w:t>
            </w:r>
            <w:r w:rsidR="0087287A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</w:t>
            </w:r>
            <w:r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platform</w:t>
            </w:r>
            <w:r w:rsidR="00637349"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&amp; jack-up</w:t>
            </w:r>
            <w:r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evacuated</w:t>
            </w:r>
          </w:p>
          <w:p w14:paraId="534E738D" w14:textId="6F7517FC" w:rsidR="001A197A" w:rsidRPr="00EF22C1" w:rsidRDefault="003E3797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15 May 2012: </w:t>
            </w:r>
            <w:proofErr w:type="gramStart"/>
            <w:r w:rsidRPr="00EF22C1">
              <w:rPr>
                <w:rFonts w:ascii="Arial" w:hAnsi="Arial" w:cs="Arial"/>
                <w:sz w:val="12"/>
                <w:szCs w:val="12"/>
              </w:rPr>
              <w:t>Well</w:t>
            </w:r>
            <w:proofErr w:type="gramEnd"/>
            <w:r w:rsidRPr="00EF22C1">
              <w:rPr>
                <w:rFonts w:ascii="Arial" w:hAnsi="Arial" w:cs="Arial"/>
                <w:sz w:val="12"/>
                <w:szCs w:val="12"/>
              </w:rPr>
              <w:t xml:space="preserve"> killed with heavy mud</w:t>
            </w:r>
            <w:r w:rsidR="00C034D1" w:rsidRPr="00EF22C1">
              <w:rPr>
                <w:rFonts w:ascii="Arial" w:hAnsi="Arial" w:cs="Arial"/>
                <w:sz w:val="12"/>
                <w:szCs w:val="12"/>
              </w:rPr>
              <w:t xml:space="preserve"> from 2</w:t>
            </w:r>
            <w:r w:rsidR="00C034D1" w:rsidRPr="00EF22C1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="00C034D1" w:rsidRPr="00EF22C1">
              <w:rPr>
                <w:rFonts w:ascii="Arial" w:hAnsi="Arial" w:cs="Arial"/>
                <w:sz w:val="12"/>
                <w:szCs w:val="12"/>
              </w:rPr>
              <w:t xml:space="preserve"> attending </w:t>
            </w:r>
            <w:r w:rsidR="001A197A" w:rsidRPr="00EF22C1">
              <w:rPr>
                <w:rFonts w:ascii="Arial" w:hAnsi="Arial" w:cs="Arial"/>
                <w:sz w:val="12"/>
                <w:szCs w:val="12"/>
              </w:rPr>
              <w:t>semi-submersible rig</w:t>
            </w:r>
          </w:p>
          <w:p w14:paraId="15EF9F4C" w14:textId="6A65AE41" w:rsidR="004D567F" w:rsidRPr="00EF22C1" w:rsidRDefault="004D567F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16 June 2012: Contingent single relief well </w:t>
            </w:r>
            <w:r w:rsidR="00BB33E5" w:rsidRPr="00EF22C1">
              <w:rPr>
                <w:rFonts w:ascii="Arial" w:hAnsi="Arial" w:cs="Arial"/>
                <w:sz w:val="12"/>
                <w:szCs w:val="12"/>
              </w:rPr>
              <w:t>suspended</w:t>
            </w:r>
            <w:r w:rsidR="00CD1F38" w:rsidRPr="00EF22C1">
              <w:rPr>
                <w:rFonts w:ascii="Arial" w:hAnsi="Arial" w:cs="Arial"/>
                <w:sz w:val="12"/>
                <w:szCs w:val="12"/>
              </w:rPr>
              <w:t xml:space="preserve"> (spudded 18 April)</w:t>
            </w:r>
            <w:r w:rsidR="00BB33E5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A44F3" w:rsidRPr="00EF22C1">
              <w:rPr>
                <w:rFonts w:ascii="Arial" w:hAnsi="Arial" w:cs="Arial"/>
                <w:sz w:val="12"/>
                <w:szCs w:val="12"/>
              </w:rPr>
              <w:t xml:space="preserve"> - being drilled 1.6 km</w:t>
            </w:r>
            <w:r w:rsidR="002F3FD9" w:rsidRPr="00EF22C1">
              <w:rPr>
                <w:rFonts w:ascii="Arial" w:hAnsi="Arial" w:cs="Arial"/>
                <w:sz w:val="12"/>
                <w:szCs w:val="12"/>
              </w:rPr>
              <w:t xml:space="preserve"> from the EWHP</w:t>
            </w:r>
            <w:r w:rsidR="009F388E" w:rsidRPr="00EF22C1">
              <w:rPr>
                <w:rFonts w:ascii="Arial" w:hAnsi="Arial" w:cs="Arial"/>
                <w:sz w:val="12"/>
                <w:szCs w:val="12"/>
              </w:rPr>
              <w:t xml:space="preserve"> (a 2</w:t>
            </w:r>
            <w:r w:rsidR="009F388E" w:rsidRPr="00EF22C1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="009F388E" w:rsidRPr="00EF22C1">
              <w:rPr>
                <w:rFonts w:ascii="Arial" w:hAnsi="Arial" w:cs="Arial"/>
                <w:sz w:val="12"/>
                <w:szCs w:val="12"/>
              </w:rPr>
              <w:t xml:space="preserve"> relief well was planned but not started)</w:t>
            </w:r>
          </w:p>
          <w:p w14:paraId="042410BB" w14:textId="77777777" w:rsidR="00D01006" w:rsidRPr="00EF22C1" w:rsidRDefault="001A197A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24 Oct </w:t>
            </w:r>
            <w:r w:rsidR="00403BB6" w:rsidRPr="00EF22C1">
              <w:rPr>
                <w:rFonts w:ascii="Arial" w:hAnsi="Arial" w:cs="Arial"/>
                <w:sz w:val="12"/>
                <w:szCs w:val="12"/>
              </w:rPr>
              <w:t>2012: Well finally secured with 2</w:t>
            </w:r>
            <w:r w:rsidR="00403BB6" w:rsidRPr="00EF22C1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="00403BB6" w:rsidRPr="00EF22C1">
              <w:rPr>
                <w:rFonts w:ascii="Arial" w:hAnsi="Arial" w:cs="Arial"/>
                <w:sz w:val="12"/>
                <w:szCs w:val="12"/>
              </w:rPr>
              <w:t xml:space="preserve"> plug </w:t>
            </w:r>
            <w:r w:rsidR="004D567F" w:rsidRPr="00EF22C1">
              <w:rPr>
                <w:rFonts w:ascii="Arial" w:hAnsi="Arial" w:cs="Arial"/>
                <w:sz w:val="12"/>
                <w:szCs w:val="12"/>
              </w:rPr>
              <w:t xml:space="preserve">installed </w:t>
            </w:r>
            <w:r w:rsidR="0084573D" w:rsidRPr="00EF22C1">
              <w:rPr>
                <w:rFonts w:ascii="Arial" w:hAnsi="Arial" w:cs="Arial"/>
                <w:sz w:val="12"/>
                <w:szCs w:val="12"/>
              </w:rPr>
              <w:t>from attending jack-up</w:t>
            </w:r>
          </w:p>
          <w:p w14:paraId="075040E4" w14:textId="5F0CABB4" w:rsidR="004631CE" w:rsidRPr="00EF22C1" w:rsidRDefault="003E3797" w:rsidP="00146D2F">
            <w:pPr>
              <w:pStyle w:val="TableParagraph"/>
              <w:numPr>
                <w:ilvl w:val="0"/>
                <w:numId w:val="11"/>
              </w:numPr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09 Mar 2013: Production</w:t>
            </w:r>
            <w:r w:rsidR="004D6F10" w:rsidRPr="00EF22C1">
              <w:rPr>
                <w:rFonts w:ascii="Arial" w:hAnsi="Arial" w:cs="Arial"/>
                <w:sz w:val="12"/>
                <w:szCs w:val="12"/>
              </w:rPr>
              <w:t xml:space="preserve"> from Elgin </w:t>
            </w:r>
            <w:r w:rsidRPr="00EF22C1">
              <w:rPr>
                <w:rFonts w:ascii="Arial" w:hAnsi="Arial" w:cs="Arial"/>
                <w:sz w:val="12"/>
                <w:szCs w:val="12"/>
              </w:rPr>
              <w:t>restarted</w:t>
            </w:r>
            <w:r w:rsidR="004631CE" w:rsidRPr="00EF22C1">
              <w:rPr>
                <w:rFonts w:ascii="Arial" w:hAnsi="Arial" w:cs="Arial"/>
                <w:sz w:val="12"/>
                <w:szCs w:val="12"/>
              </w:rPr>
              <w:br/>
              <w:t> </w:t>
            </w:r>
          </w:p>
          <w:p w14:paraId="01C31BFA" w14:textId="5521DD04" w:rsidR="003965D5" w:rsidRPr="00EF22C1" w:rsidRDefault="003965D5" w:rsidP="005825EA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Refer to </w:t>
            </w:r>
            <w:r w:rsidRPr="00EF22C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References </w:t>
            </w:r>
            <w:r w:rsidRPr="00EF22C1">
              <w:rPr>
                <w:rFonts w:ascii="Arial" w:hAnsi="Arial" w:cs="Arial"/>
                <w:sz w:val="12"/>
                <w:szCs w:val="12"/>
              </w:rPr>
              <w:t>for Well Schematic</w:t>
            </w:r>
            <w:r w:rsidR="00083A11" w:rsidRPr="00EF22C1">
              <w:rPr>
                <w:rFonts w:ascii="Arial" w:hAnsi="Arial" w:cs="Arial"/>
                <w:sz w:val="12"/>
                <w:szCs w:val="12"/>
              </w:rPr>
              <w:t xml:space="preserve"> and suspected leak </w:t>
            </w:r>
            <w:r w:rsidR="00255B92" w:rsidRPr="00EF22C1">
              <w:rPr>
                <w:rFonts w:ascii="Arial" w:hAnsi="Arial" w:cs="Arial"/>
                <w:sz w:val="12"/>
                <w:szCs w:val="12"/>
              </w:rPr>
              <w:t>path.</w:t>
            </w:r>
          </w:p>
          <w:p w14:paraId="1054ABC9" w14:textId="79193F13" w:rsidR="003965D5" w:rsidRPr="00EF22C1" w:rsidRDefault="003965D5" w:rsidP="005825EA">
            <w:pPr>
              <w:pStyle w:val="TableParagraph"/>
              <w:spacing w:line="254" w:lineRule="auto"/>
              <w:ind w:right="2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0372" w14:paraId="1054ABCC" w14:textId="77777777">
        <w:trPr>
          <w:trHeight w:val="270"/>
        </w:trPr>
        <w:tc>
          <w:tcPr>
            <w:tcW w:w="9762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1F487C"/>
          </w:tcPr>
          <w:p w14:paraId="1054ABCB" w14:textId="77777777" w:rsidR="004E0372" w:rsidRPr="00EF22C1" w:rsidRDefault="00AD4A89">
            <w:pPr>
              <w:pStyle w:val="TableParagraph"/>
              <w:spacing w:line="157" w:lineRule="exact"/>
              <w:ind w:left="32" w:right="12"/>
              <w:jc w:val="center"/>
              <w:rPr>
                <w:rFonts w:ascii="Arial" w:hAnsi="Arial" w:cs="Arial"/>
                <w:b/>
                <w:sz w:val="13"/>
              </w:rPr>
            </w:pP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Incident</w:t>
            </w:r>
            <w:r w:rsidRPr="00EF22C1">
              <w:rPr>
                <w:rFonts w:ascii="Arial" w:hAnsi="Arial" w:cs="Arial"/>
                <w:b/>
                <w:color w:val="FFFFFF"/>
                <w:spacing w:val="2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Analysis</w:t>
            </w:r>
            <w:r w:rsidRPr="00EF22C1">
              <w:rPr>
                <w:rFonts w:ascii="Arial" w:hAnsi="Arial" w:cs="Arial"/>
                <w:b/>
                <w:color w:val="FFFFFF"/>
                <w:spacing w:val="7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and</w:t>
            </w:r>
            <w:r w:rsidRPr="00EF22C1">
              <w:rPr>
                <w:rFonts w:ascii="Arial" w:hAnsi="Arial" w:cs="Arial"/>
                <w:b/>
                <w:color w:val="FFFFFF"/>
                <w:spacing w:val="5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Findings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(including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Causal</w:t>
            </w:r>
            <w:r w:rsidRPr="00EF22C1">
              <w:rPr>
                <w:rFonts w:ascii="Arial" w:hAnsi="Arial" w:cs="Arial"/>
                <w:b/>
                <w:color w:val="FFFFFF"/>
                <w:spacing w:val="4"/>
                <w:sz w:val="13"/>
                <w:u w:val="single" w:color="FFFFFF"/>
              </w:rPr>
              <w:t xml:space="preserve"> </w:t>
            </w:r>
            <w:r w:rsidRPr="00EF22C1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Factors)</w:t>
            </w:r>
          </w:p>
        </w:tc>
      </w:tr>
      <w:tr w:rsidR="008D3995" w14:paraId="77730DE8" w14:textId="77777777" w:rsidTr="008D3995">
        <w:trPr>
          <w:trHeight w:val="270"/>
        </w:trPr>
        <w:tc>
          <w:tcPr>
            <w:tcW w:w="9762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CC"/>
          </w:tcPr>
          <w:p w14:paraId="36346D19" w14:textId="77777777" w:rsidR="00FB1864" w:rsidRPr="00EF22C1" w:rsidRDefault="00FB1864" w:rsidP="008D3995">
            <w:pPr>
              <w:pStyle w:val="TableParagraph"/>
              <w:tabs>
                <w:tab w:val="left" w:pos="1415"/>
              </w:tabs>
              <w:spacing w:line="157" w:lineRule="exact"/>
              <w:ind w:left="32" w:right="12"/>
              <w:rPr>
                <w:rFonts w:ascii="Arial" w:hAnsi="Arial" w:cs="Arial"/>
                <w:b/>
                <w:color w:val="FFFFFF"/>
                <w:sz w:val="12"/>
                <w:szCs w:val="12"/>
                <w:u w:val="single" w:color="FFFFFF"/>
              </w:rPr>
            </w:pPr>
          </w:p>
          <w:p w14:paraId="71309E59" w14:textId="7137B3D7" w:rsidR="00F73709" w:rsidRPr="00EF22C1" w:rsidRDefault="004712A7" w:rsidP="008D3995">
            <w:pPr>
              <w:pStyle w:val="TableParagraph"/>
              <w:tabs>
                <w:tab w:val="left" w:pos="1415"/>
              </w:tabs>
              <w:spacing w:line="157" w:lineRule="exact"/>
              <w:ind w:left="32" w:right="12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Immediate Cause</w:t>
            </w:r>
            <w:r w:rsidR="00F73709" w:rsidRPr="00EF22C1">
              <w:rPr>
                <w:rFonts w:ascii="Arial" w:hAnsi="Arial" w:cs="Arial"/>
                <w:sz w:val="12"/>
                <w:szCs w:val="12"/>
              </w:rPr>
              <w:t>s:</w:t>
            </w:r>
          </w:p>
          <w:p w14:paraId="3E583657" w14:textId="77777777" w:rsidR="00AA08D6" w:rsidRPr="00EF22C1" w:rsidRDefault="00AA08D6" w:rsidP="008D3995">
            <w:pPr>
              <w:pStyle w:val="TableParagraph"/>
              <w:tabs>
                <w:tab w:val="left" w:pos="1415"/>
              </w:tabs>
              <w:spacing w:line="157" w:lineRule="exact"/>
              <w:ind w:left="32" w:right="12"/>
              <w:rPr>
                <w:rFonts w:ascii="Arial" w:hAnsi="Arial" w:cs="Arial"/>
                <w:sz w:val="12"/>
                <w:szCs w:val="12"/>
              </w:rPr>
            </w:pPr>
          </w:p>
          <w:p w14:paraId="7FEC94F3" w14:textId="7FF30A2E" w:rsidR="003649FE" w:rsidRPr="00EF22C1" w:rsidRDefault="00CD16FE" w:rsidP="003649FE">
            <w:pPr>
              <w:pStyle w:val="TableParagraph"/>
              <w:numPr>
                <w:ilvl w:val="0"/>
                <w:numId w:val="7"/>
              </w:numPr>
              <w:tabs>
                <w:tab w:val="left" w:pos="1415"/>
              </w:tabs>
              <w:spacing w:line="157" w:lineRule="exact"/>
              <w:ind w:left="360" w:right="12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 xml:space="preserve">Production casing </w:t>
            </w:r>
            <w:r w:rsidR="000E568A" w:rsidRPr="00EF22C1">
              <w:rPr>
                <w:rFonts w:ascii="Arial" w:hAnsi="Arial" w:cs="Arial"/>
                <w:sz w:val="12"/>
                <w:szCs w:val="12"/>
              </w:rPr>
              <w:t>(</w:t>
            </w:r>
            <w:r w:rsidR="0091565B" w:rsidRPr="00EF22C1">
              <w:rPr>
                <w:rFonts w:ascii="Arial" w:hAnsi="Arial" w:cs="Arial"/>
                <w:sz w:val="12"/>
                <w:szCs w:val="12"/>
              </w:rPr>
              <w:t>10 ¾</w:t>
            </w:r>
            <w:r w:rsidR="003A6B16" w:rsidRPr="00EF22C1">
              <w:rPr>
                <w:rFonts w:ascii="Arial" w:hAnsi="Arial" w:cs="Arial"/>
                <w:sz w:val="12"/>
                <w:szCs w:val="12"/>
              </w:rPr>
              <w:t>”</w:t>
            </w:r>
            <w:r w:rsidR="0091565B" w:rsidRPr="00EF22C1">
              <w:rPr>
                <w:rFonts w:ascii="Arial" w:hAnsi="Arial" w:cs="Arial"/>
                <w:sz w:val="12"/>
                <w:szCs w:val="12"/>
              </w:rPr>
              <w:t xml:space="preserve">) 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failure </w:t>
            </w:r>
            <w:r w:rsidR="00603A04" w:rsidRPr="00EF22C1">
              <w:rPr>
                <w:rFonts w:ascii="Arial" w:hAnsi="Arial" w:cs="Arial"/>
                <w:sz w:val="12"/>
                <w:szCs w:val="12"/>
              </w:rPr>
              <w:t>below design pressure</w:t>
            </w:r>
            <w:r w:rsidR="003649FE" w:rsidRPr="00EF22C1">
              <w:rPr>
                <w:rFonts w:ascii="Arial" w:hAnsi="Arial" w:cs="Arial"/>
                <w:sz w:val="12"/>
                <w:szCs w:val="12"/>
              </w:rPr>
              <w:t xml:space="preserve"> –</w:t>
            </w:r>
            <w:r w:rsidR="003649FE" w:rsidRPr="00EF22C1">
              <w:rPr>
                <w:rFonts w:ascii="Arial" w:hAnsi="Arial" w:cs="Arial"/>
                <w:sz w:val="12"/>
                <w:szCs w:val="12"/>
                <w:lang w:val="en-GB"/>
              </w:rPr>
              <w:t>allow</w:t>
            </w:r>
            <w:r w:rsidR="001F11FC" w:rsidRPr="00EF22C1">
              <w:rPr>
                <w:rFonts w:ascii="Arial" w:hAnsi="Arial" w:cs="Arial"/>
                <w:sz w:val="12"/>
                <w:szCs w:val="12"/>
                <w:lang w:val="en-GB"/>
              </w:rPr>
              <w:t>ing</w:t>
            </w:r>
            <w:r w:rsidR="003649FE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communication between A and B annuli, leading to communication between B and C annuli. </w:t>
            </w:r>
            <w:r w:rsidR="00022FD0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3649FE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Final failure of the 20” </w:t>
            </w:r>
            <w:r w:rsidR="00C60218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casing </w:t>
            </w:r>
            <w:r w:rsidR="003649FE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allowed communication with the D annulus within the well conductor, which terminates at the wellhead where there are four ports open to atmosphere</w:t>
            </w:r>
            <w:r w:rsidR="003D0F1E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subsequently releasing hydrocarbons</w:t>
            </w:r>
            <w:r w:rsidR="00E125FC" w:rsidRPr="00EF22C1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447636A4" w14:textId="77777777" w:rsidR="00FE6698" w:rsidRPr="00EF22C1" w:rsidRDefault="00FE6698" w:rsidP="00FE6698">
            <w:pPr>
              <w:pStyle w:val="TableParagraph"/>
              <w:tabs>
                <w:tab w:val="left" w:pos="1415"/>
              </w:tabs>
              <w:spacing w:line="157" w:lineRule="exact"/>
              <w:ind w:right="12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401A9E12" w14:textId="781B00FA" w:rsidR="00F73709" w:rsidRPr="00EF22C1" w:rsidRDefault="00FD4983" w:rsidP="00E125FC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1415"/>
              </w:tabs>
              <w:adjustRightInd w:val="0"/>
              <w:spacing w:line="157" w:lineRule="exact"/>
              <w:ind w:left="360" w:right="12"/>
              <w:rPr>
                <w:rFonts w:ascii="Arial" w:eastAsiaTheme="minorHAnsi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Increased </w:t>
            </w:r>
            <w:r w:rsidR="005B65F0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gas mobility </w:t>
            </w:r>
            <w:r w:rsidR="004B3EB0" w:rsidRPr="00EF22C1">
              <w:rPr>
                <w:rFonts w:ascii="Arial" w:hAnsi="Arial" w:cs="Arial"/>
                <w:sz w:val="12"/>
                <w:szCs w:val="12"/>
              </w:rPr>
              <w:t>in the HOD formation (</w:t>
            </w:r>
            <w:r w:rsidR="00451B10" w:rsidRPr="00EF22C1">
              <w:rPr>
                <w:rFonts w:ascii="Arial" w:hAnsi="Arial" w:cs="Arial"/>
                <w:sz w:val="12"/>
                <w:szCs w:val="12"/>
              </w:rPr>
              <w:t>c</w:t>
            </w:r>
            <w:r w:rsidR="004B3EB0" w:rsidRPr="00EF22C1">
              <w:rPr>
                <w:rFonts w:ascii="Arial" w:hAnsi="Arial" w:cs="Arial"/>
                <w:sz w:val="12"/>
                <w:szCs w:val="12"/>
              </w:rPr>
              <w:t>halk horizon</w:t>
            </w:r>
            <w:r w:rsidR="00451B10" w:rsidRPr="00EF22C1">
              <w:rPr>
                <w:rFonts w:ascii="Arial" w:hAnsi="Arial" w:cs="Arial"/>
                <w:sz w:val="12"/>
                <w:szCs w:val="12"/>
              </w:rPr>
              <w:t>s</w:t>
            </w:r>
            <w:r w:rsidR="004B3EB0" w:rsidRPr="00EF22C1">
              <w:rPr>
                <w:rFonts w:ascii="Arial" w:hAnsi="Arial" w:cs="Arial"/>
                <w:sz w:val="12"/>
                <w:szCs w:val="12"/>
              </w:rPr>
              <w:t>)</w:t>
            </w:r>
            <w:r w:rsidR="005B65F0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A622A" w:rsidRPr="00EF22C1">
              <w:rPr>
                <w:rFonts w:ascii="Arial" w:hAnsi="Arial" w:cs="Arial"/>
                <w:sz w:val="12"/>
                <w:szCs w:val="12"/>
              </w:rPr>
              <w:t>–</w:t>
            </w:r>
            <w:r w:rsidR="00577596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A622A" w:rsidRPr="00EF22C1">
              <w:rPr>
                <w:rFonts w:ascii="Arial" w:hAnsi="Arial" w:cs="Arial"/>
                <w:sz w:val="12"/>
                <w:szCs w:val="12"/>
              </w:rPr>
              <w:t>Initially (during the field development) t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he </w:t>
            </w:r>
            <w:r w:rsidR="000A622A" w:rsidRPr="00EF22C1">
              <w:rPr>
                <w:rFonts w:ascii="Arial" w:hAnsi="Arial" w:cs="Arial"/>
                <w:sz w:val="12"/>
                <w:szCs w:val="12"/>
              </w:rPr>
              <w:t>HOD formation (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>chalk layer</w:t>
            </w:r>
            <w:r w:rsidR="000A622A" w:rsidRPr="00EF22C1">
              <w:rPr>
                <w:rFonts w:ascii="Arial" w:hAnsi="Arial" w:cs="Arial"/>
                <w:sz w:val="12"/>
                <w:szCs w:val="12"/>
              </w:rPr>
              <w:t xml:space="preserve">) 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>had low permeability</w:t>
            </w:r>
            <w:r w:rsidR="00504D36" w:rsidRPr="00EF22C1">
              <w:rPr>
                <w:rFonts w:ascii="Arial" w:hAnsi="Arial" w:cs="Arial"/>
                <w:sz w:val="12"/>
                <w:szCs w:val="12"/>
              </w:rPr>
              <w:t xml:space="preserve">, however 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over time there was rearrangement of the overlying </w:t>
            </w:r>
            <w:r w:rsidR="00504D36" w:rsidRPr="00EF22C1">
              <w:rPr>
                <w:rFonts w:ascii="Arial" w:hAnsi="Arial" w:cs="Arial"/>
                <w:sz w:val="12"/>
                <w:szCs w:val="12"/>
              </w:rPr>
              <w:t xml:space="preserve">chalk 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caused by compaction of the Fulmar reservoir due to production, </w:t>
            </w:r>
            <w:r w:rsidR="00FE7560" w:rsidRPr="00EF22C1">
              <w:rPr>
                <w:rFonts w:ascii="Arial" w:hAnsi="Arial" w:cs="Arial"/>
                <w:sz w:val="12"/>
                <w:szCs w:val="12"/>
              </w:rPr>
              <w:t>increasing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 permeability and gas mobility. </w:t>
            </w:r>
            <w:r w:rsidR="004D5C3A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Chalk gas </w:t>
            </w:r>
            <w:r w:rsidR="00FB3467" w:rsidRPr="00EF22C1">
              <w:rPr>
                <w:rFonts w:ascii="Arial" w:hAnsi="Arial" w:cs="Arial"/>
                <w:sz w:val="12"/>
                <w:szCs w:val="12"/>
              </w:rPr>
              <w:t xml:space="preserve">reached the 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A annulus through suspected breaches in the </w:t>
            </w:r>
            <w:r w:rsidR="00F96CCC" w:rsidRPr="00EF22C1">
              <w:rPr>
                <w:rFonts w:ascii="Arial" w:hAnsi="Arial" w:cs="Arial"/>
                <w:sz w:val="12"/>
                <w:szCs w:val="12"/>
              </w:rPr>
              <w:t xml:space="preserve">production </w:t>
            </w:r>
            <w:r w:rsidR="002206F3" w:rsidRPr="00EF22C1">
              <w:rPr>
                <w:rFonts w:ascii="Arial" w:hAnsi="Arial" w:cs="Arial"/>
                <w:sz w:val="12"/>
                <w:szCs w:val="12"/>
              </w:rPr>
              <w:t>casing</w:t>
            </w:r>
            <w:r w:rsidR="00E125FC" w:rsidRPr="00EF22C1">
              <w:rPr>
                <w:rFonts w:ascii="Arial" w:hAnsi="Arial" w:cs="Arial"/>
                <w:sz w:val="12"/>
                <w:szCs w:val="12"/>
              </w:rPr>
              <w:t xml:space="preserve"> and the B annulus</w:t>
            </w:r>
            <w:r w:rsidR="00FB3467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125FC" w:rsidRPr="00EF22C1">
              <w:rPr>
                <w:rFonts w:ascii="Arial" w:eastAsiaTheme="minorHAnsi" w:hAnsi="Arial" w:cs="Arial"/>
                <w:sz w:val="12"/>
                <w:szCs w:val="12"/>
              </w:rPr>
              <w:t xml:space="preserve">through a </w:t>
            </w:r>
            <w:r w:rsidR="00E25466" w:rsidRPr="00EF22C1">
              <w:rPr>
                <w:rFonts w:ascii="Arial" w:eastAsiaTheme="minorHAnsi" w:hAnsi="Arial" w:cs="Arial"/>
                <w:sz w:val="12"/>
                <w:szCs w:val="12"/>
              </w:rPr>
              <w:t>small crack (</w:t>
            </w:r>
            <w:r w:rsidR="00E125FC" w:rsidRPr="00EF22C1">
              <w:rPr>
                <w:rFonts w:ascii="Arial" w:eastAsiaTheme="minorHAnsi" w:hAnsi="Arial" w:cs="Arial"/>
                <w:sz w:val="12"/>
                <w:szCs w:val="12"/>
              </w:rPr>
              <w:t>micro-annulus</w:t>
            </w:r>
            <w:r w:rsidR="00E25466" w:rsidRPr="00EF22C1">
              <w:rPr>
                <w:rFonts w:ascii="Arial" w:eastAsiaTheme="minorHAnsi" w:hAnsi="Arial" w:cs="Arial"/>
                <w:sz w:val="12"/>
                <w:szCs w:val="12"/>
              </w:rPr>
              <w:t>)</w:t>
            </w:r>
            <w:r w:rsidR="00E125FC" w:rsidRPr="00EF22C1">
              <w:rPr>
                <w:rFonts w:ascii="Arial" w:eastAsiaTheme="minorHAnsi" w:hAnsi="Arial" w:cs="Arial"/>
                <w:sz w:val="12"/>
                <w:szCs w:val="12"/>
              </w:rPr>
              <w:t xml:space="preserve"> in the cement.</w:t>
            </w:r>
          </w:p>
          <w:p w14:paraId="1850FE6E" w14:textId="77777777" w:rsidR="004C205F" w:rsidRPr="00EF22C1" w:rsidRDefault="004C205F" w:rsidP="004C205F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4B0F9B31" w14:textId="70349FB2" w:rsidR="005155CB" w:rsidRPr="00EF22C1" w:rsidRDefault="004C205F" w:rsidP="005155CB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1415"/>
              </w:tabs>
              <w:adjustRightInd w:val="0"/>
              <w:spacing w:line="157" w:lineRule="exact"/>
              <w:ind w:left="360" w:right="12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eastAsiaTheme="minorHAnsi" w:hAnsi="Arial" w:cs="Arial"/>
                <w:sz w:val="12"/>
                <w:szCs w:val="12"/>
              </w:rPr>
              <w:t xml:space="preserve">Over </w:t>
            </w:r>
            <w:proofErr w:type="spellStart"/>
            <w:r w:rsidR="003377B5" w:rsidRPr="00EF22C1">
              <w:rPr>
                <w:rFonts w:ascii="Arial" w:eastAsiaTheme="minorHAnsi" w:hAnsi="Arial" w:cs="Arial"/>
                <w:sz w:val="12"/>
                <w:szCs w:val="12"/>
              </w:rPr>
              <w:t>p</w:t>
            </w:r>
            <w:r w:rsidR="003A6B16" w:rsidRPr="00EF22C1">
              <w:rPr>
                <w:rFonts w:ascii="Arial" w:eastAsiaTheme="minorHAnsi" w:hAnsi="Arial" w:cs="Arial"/>
                <w:sz w:val="12"/>
                <w:szCs w:val="12"/>
              </w:rPr>
              <w:t>ressuri</w:t>
            </w:r>
            <w:r w:rsidR="003377B5" w:rsidRPr="00EF22C1">
              <w:rPr>
                <w:rFonts w:ascii="Arial" w:eastAsiaTheme="minorHAnsi" w:hAnsi="Arial" w:cs="Arial"/>
                <w:sz w:val="12"/>
                <w:szCs w:val="12"/>
              </w:rPr>
              <w:t>s</w:t>
            </w:r>
            <w:r w:rsidR="003A6B16" w:rsidRPr="00EF22C1">
              <w:rPr>
                <w:rFonts w:ascii="Arial" w:eastAsiaTheme="minorHAnsi" w:hAnsi="Arial" w:cs="Arial"/>
                <w:sz w:val="12"/>
                <w:szCs w:val="12"/>
              </w:rPr>
              <w:t>ation</w:t>
            </w:r>
            <w:proofErr w:type="spellEnd"/>
            <w:r w:rsidRPr="00EF22C1">
              <w:rPr>
                <w:rFonts w:ascii="Arial" w:eastAsiaTheme="minorHAnsi" w:hAnsi="Arial" w:cs="Arial"/>
                <w:sz w:val="12"/>
                <w:szCs w:val="12"/>
              </w:rPr>
              <w:t xml:space="preserve"> due </w:t>
            </w:r>
            <w:r w:rsidR="005155CB" w:rsidRPr="00EF22C1">
              <w:rPr>
                <w:rFonts w:ascii="Arial" w:eastAsiaTheme="minorHAnsi" w:hAnsi="Arial" w:cs="Arial"/>
                <w:sz w:val="12"/>
                <w:szCs w:val="12"/>
              </w:rPr>
              <w:t>t</w:t>
            </w:r>
            <w:r w:rsidR="00A21FAA" w:rsidRPr="00EF22C1">
              <w:rPr>
                <w:rFonts w:ascii="Arial" w:hAnsi="Arial" w:cs="Arial"/>
                <w:sz w:val="12"/>
                <w:szCs w:val="12"/>
              </w:rPr>
              <w:t>o well intervention limitations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155CB" w:rsidRPr="00EF22C1">
              <w:rPr>
                <w:rFonts w:ascii="Arial" w:hAnsi="Arial" w:cs="Arial"/>
                <w:sz w:val="12"/>
                <w:szCs w:val="12"/>
              </w:rPr>
              <w:t xml:space="preserve">– </w:t>
            </w:r>
            <w:r w:rsidR="00F02A27" w:rsidRPr="00EF22C1">
              <w:rPr>
                <w:rFonts w:ascii="Arial" w:hAnsi="Arial" w:cs="Arial"/>
                <w:sz w:val="12"/>
                <w:szCs w:val="12"/>
              </w:rPr>
              <w:t xml:space="preserve">the intervention </w:t>
            </w:r>
            <w:proofErr w:type="spellStart"/>
            <w:r w:rsidR="00F02A27" w:rsidRPr="00EF22C1">
              <w:rPr>
                <w:rFonts w:ascii="Arial" w:hAnsi="Arial" w:cs="Arial"/>
                <w:sz w:val="12"/>
                <w:szCs w:val="12"/>
              </w:rPr>
              <w:t>programme</w:t>
            </w:r>
            <w:proofErr w:type="spellEnd"/>
            <w:r w:rsidR="00F02A27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35899" w:rsidRPr="00EF22C1">
              <w:rPr>
                <w:rFonts w:ascii="Arial" w:hAnsi="Arial" w:cs="Arial"/>
                <w:sz w:val="12"/>
                <w:szCs w:val="12"/>
              </w:rPr>
              <w:t xml:space="preserve">for G4 </w:t>
            </w:r>
            <w:r w:rsidR="00D6721D" w:rsidRPr="00EF22C1">
              <w:rPr>
                <w:rFonts w:ascii="Arial" w:hAnsi="Arial" w:cs="Arial"/>
                <w:sz w:val="12"/>
                <w:szCs w:val="12"/>
              </w:rPr>
              <w:t xml:space="preserve">was not able </w:t>
            </w:r>
            <w:r w:rsidR="00F02A27" w:rsidRPr="00EF22C1">
              <w:rPr>
                <w:rFonts w:ascii="Arial" w:hAnsi="Arial" w:cs="Arial"/>
                <w:sz w:val="12"/>
                <w:szCs w:val="12"/>
              </w:rPr>
              <w:t xml:space="preserve">to kill </w:t>
            </w:r>
            <w:r w:rsidR="00D6721D" w:rsidRPr="00EF22C1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F02A27" w:rsidRPr="00EF22C1">
              <w:rPr>
                <w:rFonts w:ascii="Arial" w:hAnsi="Arial" w:cs="Arial"/>
                <w:sz w:val="12"/>
                <w:szCs w:val="12"/>
              </w:rPr>
              <w:t xml:space="preserve">well </w:t>
            </w:r>
            <w:r w:rsidR="00D6721D" w:rsidRPr="00EF22C1">
              <w:rPr>
                <w:rFonts w:ascii="Arial" w:hAnsi="Arial" w:cs="Arial"/>
                <w:sz w:val="12"/>
                <w:szCs w:val="12"/>
              </w:rPr>
              <w:t>be</w:t>
            </w:r>
            <w:proofErr w:type="spellStart"/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fore</w:t>
            </w:r>
            <w:proofErr w:type="spellEnd"/>
            <w:r w:rsidR="00A225A8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the C annulus was </w:t>
            </w:r>
            <w:proofErr w:type="spellStart"/>
            <w:r w:rsidR="00A225A8" w:rsidRPr="00EF22C1">
              <w:rPr>
                <w:rFonts w:ascii="Arial" w:hAnsi="Arial" w:cs="Arial"/>
                <w:sz w:val="12"/>
                <w:szCs w:val="12"/>
                <w:lang w:val="en-GB"/>
              </w:rPr>
              <w:t>overpressured</w:t>
            </w:r>
            <w:proofErr w:type="spellEnd"/>
            <w:r w:rsidR="0014420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because the r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equired back pressure at</w:t>
            </w:r>
            <w:r w:rsidR="0059235A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the top of A annulus to kill the well whilst keeping B and C annuli</w:t>
            </w:r>
            <w:r w:rsidR="00E725D5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within the required </w:t>
            </w:r>
            <w:r w:rsidR="00E725D5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integrity 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operating windows</w:t>
            </w:r>
            <w:r w:rsidR="00E725D5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was not achieved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  <w:r w:rsidR="00292A54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0B376D" w:rsidRPr="00EF22C1">
              <w:rPr>
                <w:rFonts w:ascii="Arial" w:hAnsi="Arial" w:cs="Arial"/>
                <w:sz w:val="12"/>
                <w:szCs w:val="12"/>
                <w:lang w:val="en-GB"/>
              </w:rPr>
              <w:t>F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>requent bleeding operations</w:t>
            </w:r>
            <w:r w:rsidR="000B376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of 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B and C annuli </w:t>
            </w:r>
            <w:r w:rsidR="000B376D" w:rsidRPr="00EF22C1">
              <w:rPr>
                <w:rFonts w:ascii="Arial" w:hAnsi="Arial" w:cs="Arial"/>
                <w:sz w:val="12"/>
                <w:szCs w:val="12"/>
                <w:lang w:val="en-GB"/>
              </w:rPr>
              <w:t>pulled</w:t>
            </w:r>
            <w:r w:rsidR="005155C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more gas into the well.</w:t>
            </w:r>
          </w:p>
          <w:p w14:paraId="162DB10E" w14:textId="77777777" w:rsidR="003A6B16" w:rsidRPr="00EF22C1" w:rsidRDefault="003A6B16" w:rsidP="003A6B16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1A01884D" w14:textId="70AB6525" w:rsidR="00F73709" w:rsidRPr="00EF22C1" w:rsidRDefault="00A21FAA" w:rsidP="008D3995">
            <w:pPr>
              <w:pStyle w:val="TableParagraph"/>
              <w:tabs>
                <w:tab w:val="left" w:pos="1415"/>
              </w:tabs>
              <w:spacing w:line="157" w:lineRule="exact"/>
              <w:ind w:left="32" w:right="12"/>
              <w:rPr>
                <w:rFonts w:ascii="Arial" w:hAnsi="Arial" w:cs="Arial"/>
                <w:sz w:val="12"/>
                <w:szCs w:val="12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Underlying Cause:</w:t>
            </w:r>
          </w:p>
          <w:p w14:paraId="5130159E" w14:textId="77777777" w:rsidR="00B52A00" w:rsidRPr="00EF22C1" w:rsidRDefault="00B52A00" w:rsidP="008D3995">
            <w:pPr>
              <w:pStyle w:val="TableParagraph"/>
              <w:tabs>
                <w:tab w:val="left" w:pos="1415"/>
              </w:tabs>
              <w:spacing w:line="157" w:lineRule="exact"/>
              <w:ind w:left="32" w:right="12"/>
              <w:rPr>
                <w:rFonts w:ascii="Arial" w:hAnsi="Arial" w:cs="Arial"/>
                <w:sz w:val="12"/>
                <w:szCs w:val="12"/>
              </w:rPr>
            </w:pPr>
          </w:p>
          <w:p w14:paraId="0A158A9B" w14:textId="24577FA0" w:rsidR="009643F5" w:rsidRPr="00EF22C1" w:rsidRDefault="000651E3" w:rsidP="00073183">
            <w:pPr>
              <w:pStyle w:val="TableParagraph"/>
              <w:tabs>
                <w:tab w:val="left" w:pos="1415"/>
              </w:tabs>
              <w:spacing w:line="157" w:lineRule="exact"/>
              <w:ind w:left="34" w:right="11"/>
              <w:rPr>
                <w:rFonts w:ascii="Arial" w:hAnsi="Arial" w:cs="Arial"/>
                <w:b/>
                <w:color w:val="FFFFFF"/>
                <w:sz w:val="12"/>
                <w:szCs w:val="12"/>
                <w:u w:val="single" w:color="FFFFFF"/>
              </w:rPr>
            </w:pPr>
            <w:r w:rsidRPr="00EF22C1">
              <w:rPr>
                <w:rFonts w:ascii="Arial" w:hAnsi="Arial" w:cs="Arial"/>
                <w:sz w:val="12"/>
                <w:szCs w:val="12"/>
              </w:rPr>
              <w:t>Neither the intermediate casing</w:t>
            </w:r>
            <w:r w:rsidR="00C65247" w:rsidRPr="00EF22C1">
              <w:rPr>
                <w:rFonts w:ascii="Arial" w:hAnsi="Arial" w:cs="Arial"/>
                <w:sz w:val="12"/>
                <w:szCs w:val="12"/>
              </w:rPr>
              <w:t xml:space="preserve"> (B)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nor the surface casing</w:t>
            </w:r>
            <w:r w:rsidR="00C65247" w:rsidRPr="00EF22C1">
              <w:rPr>
                <w:rFonts w:ascii="Arial" w:hAnsi="Arial" w:cs="Arial"/>
                <w:sz w:val="12"/>
                <w:szCs w:val="12"/>
              </w:rPr>
              <w:t xml:space="preserve"> (C)</w:t>
            </w:r>
            <w:r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712AC" w:rsidRPr="00EF22C1">
              <w:rPr>
                <w:rFonts w:ascii="Arial" w:hAnsi="Arial" w:cs="Arial"/>
                <w:sz w:val="12"/>
                <w:szCs w:val="12"/>
              </w:rPr>
              <w:t xml:space="preserve">would have been expected to fail at the pressures </w:t>
            </w:r>
            <w:r w:rsidR="00FD4129" w:rsidRPr="00EF22C1">
              <w:rPr>
                <w:rFonts w:ascii="Arial" w:hAnsi="Arial" w:cs="Arial"/>
                <w:sz w:val="12"/>
                <w:szCs w:val="12"/>
              </w:rPr>
              <w:t xml:space="preserve">seen </w:t>
            </w:r>
            <w:r w:rsidR="00E9319A" w:rsidRPr="00EF22C1">
              <w:rPr>
                <w:rFonts w:ascii="Arial" w:hAnsi="Arial" w:cs="Arial"/>
                <w:sz w:val="12"/>
                <w:szCs w:val="12"/>
              </w:rPr>
              <w:t>on</w:t>
            </w:r>
            <w:r w:rsidR="00FD4129" w:rsidRPr="00EF22C1">
              <w:rPr>
                <w:rFonts w:ascii="Arial" w:hAnsi="Arial" w:cs="Arial"/>
                <w:sz w:val="12"/>
                <w:szCs w:val="12"/>
              </w:rPr>
              <w:t xml:space="preserve"> G4 in Febr</w:t>
            </w:r>
            <w:r w:rsidR="00E9319A" w:rsidRPr="00EF22C1">
              <w:rPr>
                <w:rFonts w:ascii="Arial" w:hAnsi="Arial" w:cs="Arial"/>
                <w:sz w:val="12"/>
                <w:szCs w:val="12"/>
              </w:rPr>
              <w:t>ua</w:t>
            </w:r>
            <w:r w:rsidR="00FD4129" w:rsidRPr="00EF22C1">
              <w:rPr>
                <w:rFonts w:ascii="Arial" w:hAnsi="Arial" w:cs="Arial"/>
                <w:sz w:val="12"/>
                <w:szCs w:val="12"/>
              </w:rPr>
              <w:t>ry (for the intermediate casing) and March (for the surface casing)</w:t>
            </w:r>
            <w:r w:rsidR="00E65490" w:rsidRPr="00EF22C1">
              <w:rPr>
                <w:rFonts w:ascii="Arial" w:hAnsi="Arial" w:cs="Arial"/>
                <w:sz w:val="12"/>
                <w:szCs w:val="12"/>
              </w:rPr>
              <w:t xml:space="preserve"> in 2012</w:t>
            </w:r>
            <w:r w:rsidR="00253947" w:rsidRPr="00EF22C1">
              <w:rPr>
                <w:rFonts w:ascii="Arial" w:hAnsi="Arial" w:cs="Arial"/>
                <w:sz w:val="12"/>
                <w:szCs w:val="12"/>
              </w:rPr>
              <w:t>.</w:t>
            </w:r>
            <w:r w:rsidR="004F1FB5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32E29" w:rsidRPr="00EF22C1">
              <w:rPr>
                <w:rFonts w:ascii="Arial" w:hAnsi="Arial" w:cs="Arial"/>
                <w:sz w:val="12"/>
                <w:szCs w:val="12"/>
                <w:lang w:val="en-GB"/>
              </w:rPr>
              <w:t>On</w:t>
            </w:r>
            <w:r w:rsidR="004F7F8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ce the </w:t>
            </w:r>
            <w:r w:rsidR="00632E29" w:rsidRPr="00EF22C1">
              <w:rPr>
                <w:rFonts w:ascii="Arial" w:hAnsi="Arial" w:cs="Arial"/>
                <w:sz w:val="12"/>
                <w:szCs w:val="12"/>
                <w:lang w:val="en-GB"/>
              </w:rPr>
              <w:t>casing sections</w:t>
            </w:r>
            <w:r w:rsidR="004F7F8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were recovered</w:t>
            </w:r>
            <w:r w:rsidR="00632E29" w:rsidRPr="00EF22C1">
              <w:rPr>
                <w:rFonts w:ascii="Arial" w:hAnsi="Arial" w:cs="Arial"/>
                <w:sz w:val="12"/>
                <w:szCs w:val="12"/>
                <w:lang w:val="en-GB"/>
              </w:rPr>
              <w:t>, it was found that the joint connecting two casing sections had failed at a depth of 2</w:t>
            </w:r>
            <w:r w:rsidR="00697F8B" w:rsidRPr="00EF22C1">
              <w:rPr>
                <w:rFonts w:ascii="Arial" w:hAnsi="Arial" w:cs="Arial"/>
                <w:sz w:val="12"/>
                <w:szCs w:val="12"/>
                <w:lang w:val="en-GB"/>
              </w:rPr>
              <w:t>,</w:t>
            </w:r>
            <w:r w:rsidR="00632E29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094 metres. </w:t>
            </w:r>
            <w:r w:rsidR="00253947" w:rsidRPr="00EF22C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97F8B" w:rsidRPr="00EF22C1">
              <w:rPr>
                <w:rFonts w:ascii="Arial" w:hAnsi="Arial" w:cs="Arial"/>
                <w:sz w:val="12"/>
                <w:szCs w:val="12"/>
              </w:rPr>
              <w:t xml:space="preserve">A full metallurgical examination </w:t>
            </w:r>
            <w:r w:rsidR="00233A9C" w:rsidRPr="00EF22C1">
              <w:rPr>
                <w:rFonts w:ascii="Arial" w:hAnsi="Arial" w:cs="Arial"/>
                <w:sz w:val="12"/>
                <w:szCs w:val="12"/>
              </w:rPr>
              <w:t xml:space="preserve">(by The </w:t>
            </w:r>
            <w:r w:rsidR="00351901" w:rsidRPr="00EF22C1">
              <w:rPr>
                <w:rFonts w:ascii="Arial" w:hAnsi="Arial" w:cs="Arial"/>
                <w:sz w:val="12"/>
                <w:szCs w:val="12"/>
              </w:rPr>
              <w:t>W</w:t>
            </w:r>
            <w:r w:rsidR="00233A9C" w:rsidRPr="00EF22C1">
              <w:rPr>
                <w:rFonts w:ascii="Arial" w:hAnsi="Arial" w:cs="Arial"/>
                <w:sz w:val="12"/>
                <w:szCs w:val="12"/>
              </w:rPr>
              <w:t>elding Institute</w:t>
            </w:r>
            <w:r w:rsidR="00351901" w:rsidRPr="00EF22C1">
              <w:rPr>
                <w:rFonts w:ascii="Arial" w:hAnsi="Arial" w:cs="Arial"/>
                <w:sz w:val="12"/>
                <w:szCs w:val="12"/>
              </w:rPr>
              <w:t xml:space="preserve">-TWI) </w:t>
            </w:r>
            <w:r w:rsidR="00697F8B" w:rsidRPr="00EF22C1">
              <w:rPr>
                <w:rFonts w:ascii="Arial" w:hAnsi="Arial" w:cs="Arial"/>
                <w:sz w:val="12"/>
                <w:szCs w:val="12"/>
              </w:rPr>
              <w:t xml:space="preserve">of the joint </w:t>
            </w:r>
            <w:r w:rsidR="00233A9C" w:rsidRPr="00EF22C1">
              <w:rPr>
                <w:rFonts w:ascii="Arial" w:hAnsi="Arial" w:cs="Arial"/>
                <w:sz w:val="12"/>
                <w:szCs w:val="12"/>
              </w:rPr>
              <w:t>established that the failure mechanism</w:t>
            </w:r>
            <w:r w:rsidR="00B1518F" w:rsidRPr="00EF22C1">
              <w:rPr>
                <w:rFonts w:ascii="Arial" w:hAnsi="Arial" w:cs="Arial"/>
                <w:sz w:val="12"/>
                <w:szCs w:val="12"/>
              </w:rPr>
              <w:t> </w:t>
            </w:r>
            <w:r w:rsidR="001B2978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was </w:t>
            </w:r>
            <w:r w:rsidR="0081242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stress corrosion cracking </w:t>
            </w:r>
            <w:r w:rsidR="003A6B16" w:rsidRPr="00EF22C1">
              <w:rPr>
                <w:rFonts w:ascii="Arial" w:hAnsi="Arial" w:cs="Arial"/>
                <w:sz w:val="12"/>
                <w:szCs w:val="12"/>
                <w:lang w:val="en-GB"/>
              </w:rPr>
              <w:t>–</w:t>
            </w:r>
            <w:r w:rsidR="0081242D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SCC (or </w:t>
            </w:r>
            <w:r w:rsidR="001B2978" w:rsidRPr="00EF22C1">
              <w:rPr>
                <w:rFonts w:ascii="Arial" w:hAnsi="Arial" w:cs="Arial"/>
                <w:sz w:val="12"/>
                <w:szCs w:val="12"/>
                <w:lang w:val="en-GB"/>
              </w:rPr>
              <w:t>environmentally assisted cracking</w:t>
            </w:r>
            <w:r w:rsidR="0024445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r w:rsidR="001B2978" w:rsidRPr="00EF22C1">
              <w:rPr>
                <w:rFonts w:ascii="Arial" w:hAnsi="Arial" w:cs="Arial"/>
                <w:sz w:val="12"/>
                <w:szCs w:val="12"/>
                <w:lang w:val="en-GB"/>
              </w:rPr>
              <w:t>of the threaded portion of the casing and the casing joint.</w:t>
            </w:r>
            <w:r w:rsidR="00E3187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880DB6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E3187B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The cause of SCC was identified as </w:t>
            </w:r>
            <w:r w:rsidR="007F09F1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an interaction between the thread lubricant </w:t>
            </w:r>
            <w:r w:rsidR="00742617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(thread dope) </w:t>
            </w:r>
            <w:r w:rsidR="007F09F1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and the calcium bromide </w:t>
            </w:r>
            <w:r w:rsidR="0096086A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brine </w:t>
            </w:r>
            <w:r w:rsidR="007F09F1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completion fluid in the </w:t>
            </w:r>
            <w:r w:rsidR="00AF2662" w:rsidRPr="00EF22C1">
              <w:rPr>
                <w:rFonts w:ascii="Arial" w:hAnsi="Arial" w:cs="Arial"/>
                <w:sz w:val="12"/>
                <w:szCs w:val="12"/>
                <w:lang w:val="en-GB"/>
              </w:rPr>
              <w:t>B</w:t>
            </w:r>
            <w:r w:rsidR="007F09F1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annulus</w:t>
            </w:r>
            <w:r w:rsidR="00A87351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r w:rsidR="007E4FC4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in contact with the outside of the production casing (A). </w:t>
            </w:r>
            <w:r w:rsidR="00D1201A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026CF7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This </w:t>
            </w:r>
            <w:proofErr w:type="gramStart"/>
            <w:r w:rsidR="00026CF7" w:rsidRPr="00EF22C1">
              <w:rPr>
                <w:rFonts w:ascii="Arial" w:hAnsi="Arial" w:cs="Arial"/>
                <w:sz w:val="12"/>
                <w:szCs w:val="12"/>
                <w:lang w:val="en-GB"/>
              </w:rPr>
              <w:t>particular type of SCC</w:t>
            </w:r>
            <w:proofErr w:type="gramEnd"/>
            <w:r w:rsidR="00026CF7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and the identified failure mechanism</w:t>
            </w:r>
            <w:r w:rsidR="003377B5" w:rsidRPr="00EF22C1">
              <w:rPr>
                <w:rFonts w:ascii="Arial" w:hAnsi="Arial" w:cs="Arial"/>
                <w:sz w:val="12"/>
                <w:szCs w:val="12"/>
                <w:lang w:val="en-GB"/>
              </w:rPr>
              <w:t>,</w:t>
            </w:r>
            <w:r w:rsidR="00026CF7" w:rsidRPr="00EF22C1">
              <w:rPr>
                <w:rFonts w:ascii="Arial" w:hAnsi="Arial" w:cs="Arial"/>
                <w:sz w:val="12"/>
                <w:szCs w:val="12"/>
                <w:lang w:val="en-GB"/>
              </w:rPr>
              <w:t xml:space="preserve"> were not considered foreseeable in the type of casing material.</w:t>
            </w:r>
          </w:p>
        </w:tc>
      </w:tr>
    </w:tbl>
    <w:p w14:paraId="1054ABE6" w14:textId="77777777" w:rsidR="00185F15" w:rsidRDefault="00185F15">
      <w:pPr>
        <w:spacing w:line="254" w:lineRule="auto"/>
        <w:rPr>
          <w:sz w:val="12"/>
        </w:rPr>
        <w:sectPr w:rsidR="00185F15" w:rsidSect="00762A9E">
          <w:headerReference w:type="default" r:id="rId8"/>
          <w:type w:val="continuous"/>
          <w:pgSz w:w="11910" w:h="16840"/>
          <w:pgMar w:top="1040" w:right="1020" w:bottom="1044" w:left="900" w:header="283" w:footer="567" w:gutter="0"/>
          <w:cols w:space="720"/>
          <w:docGrid w:linePitch="299"/>
        </w:sectPr>
      </w:pPr>
    </w:p>
    <w:tbl>
      <w:tblPr>
        <w:tblpPr w:leftFromText="180" w:rightFromText="180" w:horzAnchor="margin" w:tblpY="765"/>
        <w:tblW w:w="10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250"/>
        <w:gridCol w:w="1309"/>
        <w:gridCol w:w="258"/>
        <w:gridCol w:w="1890"/>
        <w:gridCol w:w="250"/>
        <w:gridCol w:w="1698"/>
        <w:gridCol w:w="261"/>
        <w:gridCol w:w="2162"/>
        <w:gridCol w:w="259"/>
        <w:gridCol w:w="6"/>
      </w:tblGrid>
      <w:tr w:rsidR="004E0372" w14:paraId="1054ABE8" w14:textId="77777777" w:rsidTr="00CD6EA2">
        <w:trPr>
          <w:trHeight w:val="253"/>
        </w:trPr>
        <w:tc>
          <w:tcPr>
            <w:tcW w:w="10312" w:type="dxa"/>
            <w:gridSpan w:val="11"/>
            <w:tcBorders>
              <w:left w:val="double" w:sz="6" w:space="0" w:color="000000"/>
              <w:right w:val="double" w:sz="6" w:space="0" w:color="000000"/>
            </w:tcBorders>
            <w:shd w:val="clear" w:color="auto" w:fill="1F497C"/>
          </w:tcPr>
          <w:p w14:paraId="1054ABE7" w14:textId="77777777" w:rsidR="004E0372" w:rsidRPr="0051318C" w:rsidRDefault="00AD4A89" w:rsidP="00762A9E">
            <w:pPr>
              <w:pStyle w:val="TableParagraph"/>
              <w:spacing w:line="157" w:lineRule="exact"/>
              <w:ind w:left="29" w:right="11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lastRenderedPageBreak/>
              <w:t>Root</w:t>
            </w:r>
            <w:r w:rsidRPr="0051318C">
              <w:rPr>
                <w:rFonts w:ascii="Arial" w:hAnsi="Arial" w:cs="Arial"/>
                <w:b/>
                <w:color w:val="FFFFFF"/>
                <w:spacing w:val="2"/>
                <w:sz w:val="13"/>
                <w:u w:val="single" w:color="FFFFFF"/>
              </w:rPr>
              <w:t xml:space="preserve"> </w:t>
            </w:r>
            <w:r w:rsidRPr="0051318C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Causes</w:t>
            </w:r>
          </w:p>
        </w:tc>
      </w:tr>
      <w:tr w:rsidR="004E0372" w14:paraId="1054ABEC" w14:textId="77777777" w:rsidTr="00CD6EA2">
        <w:trPr>
          <w:trHeight w:val="354"/>
        </w:trPr>
        <w:tc>
          <w:tcPr>
            <w:tcW w:w="3787" w:type="dxa"/>
            <w:gridSpan w:val="4"/>
            <w:tcBorders>
              <w:left w:val="double" w:sz="6" w:space="0" w:color="000000"/>
              <w:bottom w:val="single" w:sz="6" w:space="0" w:color="000000"/>
            </w:tcBorders>
          </w:tcPr>
          <w:p w14:paraId="1054ABE9" w14:textId="77777777" w:rsidR="004E0372" w:rsidRPr="0051318C" w:rsidRDefault="00AD4A89" w:rsidP="00762A9E">
            <w:pPr>
              <w:pStyle w:val="TableParagraph"/>
              <w:spacing w:before="99"/>
              <w:ind w:left="13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sz w:val="13"/>
                <w:u w:val="single"/>
              </w:rPr>
              <w:t>Equipment</w:t>
            </w:r>
            <w:r w:rsidRPr="0051318C">
              <w:rPr>
                <w:rFonts w:ascii="Arial" w:hAnsi="Arial" w:cs="Arial"/>
                <w:b/>
                <w:spacing w:val="7"/>
                <w:sz w:val="13"/>
                <w:u w:val="single"/>
              </w:rPr>
              <w:t xml:space="preserve"> </w:t>
            </w:r>
            <w:r w:rsidRPr="0051318C">
              <w:rPr>
                <w:rFonts w:ascii="Arial" w:hAnsi="Arial" w:cs="Arial"/>
                <w:b/>
                <w:spacing w:val="-2"/>
                <w:sz w:val="13"/>
                <w:u w:val="single"/>
              </w:rPr>
              <w:t>Failure</w:t>
            </w:r>
          </w:p>
        </w:tc>
        <w:tc>
          <w:tcPr>
            <w:tcW w:w="4101" w:type="dxa"/>
            <w:gridSpan w:val="4"/>
            <w:tcBorders>
              <w:bottom w:val="single" w:sz="6" w:space="0" w:color="000000"/>
            </w:tcBorders>
          </w:tcPr>
          <w:p w14:paraId="1054ABEA" w14:textId="77777777" w:rsidR="004E0372" w:rsidRPr="0051318C" w:rsidRDefault="00AD4A89" w:rsidP="00762A9E">
            <w:pPr>
              <w:pStyle w:val="TableParagraph"/>
              <w:spacing w:before="99"/>
              <w:ind w:left="19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sz w:val="13"/>
                <w:u w:val="single"/>
              </w:rPr>
              <w:t>Human</w:t>
            </w:r>
            <w:r w:rsidRPr="0051318C">
              <w:rPr>
                <w:rFonts w:ascii="Arial" w:hAnsi="Arial" w:cs="Arial"/>
                <w:b/>
                <w:spacing w:val="4"/>
                <w:sz w:val="13"/>
                <w:u w:val="single"/>
              </w:rPr>
              <w:t xml:space="preserve"> </w:t>
            </w:r>
            <w:r w:rsidRPr="0051318C">
              <w:rPr>
                <w:rFonts w:ascii="Arial" w:hAnsi="Arial" w:cs="Arial"/>
                <w:b/>
                <w:spacing w:val="-2"/>
                <w:sz w:val="13"/>
                <w:u w:val="single"/>
              </w:rPr>
              <w:t>Performance</w:t>
            </w:r>
          </w:p>
        </w:tc>
        <w:tc>
          <w:tcPr>
            <w:tcW w:w="2423" w:type="dxa"/>
            <w:gridSpan w:val="3"/>
            <w:tcBorders>
              <w:bottom w:val="single" w:sz="6" w:space="0" w:color="000000"/>
              <w:right w:val="double" w:sz="6" w:space="0" w:color="000000"/>
            </w:tcBorders>
          </w:tcPr>
          <w:p w14:paraId="1054ABEB" w14:textId="77777777" w:rsidR="004E0372" w:rsidRPr="0051318C" w:rsidRDefault="00AD4A89" w:rsidP="00762A9E">
            <w:pPr>
              <w:pStyle w:val="TableParagraph"/>
              <w:spacing w:before="99"/>
              <w:ind w:left="26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spacing w:val="-2"/>
                <w:sz w:val="13"/>
                <w:u w:val="single"/>
              </w:rPr>
              <w:t>Other</w:t>
            </w:r>
          </w:p>
        </w:tc>
      </w:tr>
      <w:tr w:rsidR="00CD6EA2" w14:paraId="1054ABF7" w14:textId="77777777" w:rsidTr="00CD6EA2">
        <w:trPr>
          <w:gridAfter w:val="1"/>
          <w:wAfter w:w="6" w:type="dxa"/>
          <w:trHeight w:val="360"/>
        </w:trPr>
        <w:tc>
          <w:tcPr>
            <w:tcW w:w="1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ED" w14:textId="77777777" w:rsidR="004E0372" w:rsidRPr="0051318C" w:rsidRDefault="00AD4A89" w:rsidP="00762A9E">
            <w:pPr>
              <w:pStyle w:val="TableParagraph"/>
              <w:spacing w:before="119"/>
              <w:ind w:left="9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Repeat</w:t>
            </w:r>
            <w:r w:rsidRPr="0051318C">
              <w:rPr>
                <w:rFonts w:ascii="Arial" w:hAnsi="Arial" w:cs="Arial"/>
                <w:spacing w:val="-4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Failure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EE" w14:textId="487EDC51" w:rsidR="004E0372" w:rsidRPr="0051318C" w:rsidRDefault="00C25A9F" w:rsidP="00762A9E">
            <w:pPr>
              <w:pStyle w:val="TableParagraph"/>
              <w:spacing w:before="134" w:line="131" w:lineRule="exact"/>
              <w:ind w:left="44"/>
              <w:jc w:val="both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x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EF" w14:textId="77777777" w:rsidR="004E0372" w:rsidRPr="0051318C" w:rsidRDefault="00AD4A89" w:rsidP="00762A9E">
            <w:pPr>
              <w:pStyle w:val="TableParagraph"/>
              <w:spacing w:before="110"/>
              <w:ind w:left="23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Unexpected</w:t>
            </w:r>
            <w:r w:rsidRPr="0051318C">
              <w:rPr>
                <w:rFonts w:ascii="Arial" w:hAnsi="Arial" w:cs="Arial"/>
                <w:spacing w:val="-6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Failure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4ABF0" w14:textId="0E3C4108" w:rsidR="004E0372" w:rsidRPr="0051318C" w:rsidRDefault="00261E7F" w:rsidP="00762A9E">
            <w:pPr>
              <w:pStyle w:val="TableParagraph"/>
              <w:spacing w:before="134" w:line="131" w:lineRule="exact"/>
              <w:ind w:left="44"/>
              <w:jc w:val="both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x</w:t>
            </w: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1" w14:textId="77777777" w:rsidR="004E0372" w:rsidRPr="0051318C" w:rsidRDefault="00AD4A89" w:rsidP="00762A9E">
            <w:pPr>
              <w:pStyle w:val="TableParagraph"/>
              <w:spacing w:before="110"/>
              <w:ind w:left="16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Human</w:t>
            </w:r>
            <w:r w:rsidRPr="0051318C">
              <w:rPr>
                <w:rFonts w:ascii="Arial" w:hAnsi="Arial" w:cs="Arial"/>
                <w:spacing w:val="-5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Engineering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2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3" w14:textId="77777777" w:rsidR="004E0372" w:rsidRPr="0051318C" w:rsidRDefault="00AD4A89" w:rsidP="00762A9E">
            <w:pPr>
              <w:pStyle w:val="TableParagraph"/>
              <w:spacing w:before="119"/>
              <w:ind w:left="262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Training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4ABF4" w14:textId="2B93FF7F" w:rsidR="004E0372" w:rsidRPr="0051318C" w:rsidRDefault="004E0372" w:rsidP="00762A9E">
            <w:pPr>
              <w:pStyle w:val="TableParagraph"/>
              <w:spacing w:before="119"/>
              <w:ind w:left="26" w:right="1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5" w14:textId="77777777" w:rsidR="004E0372" w:rsidRPr="0051318C" w:rsidRDefault="00AD4A89" w:rsidP="00762A9E">
            <w:pPr>
              <w:pStyle w:val="TableParagraph"/>
              <w:spacing w:before="107"/>
              <w:ind w:left="16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Sabotage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1054ABF6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CD6EA2" w14:paraId="1054AC02" w14:textId="77777777" w:rsidTr="00CD6EA2">
        <w:trPr>
          <w:gridAfter w:val="1"/>
          <w:wAfter w:w="6" w:type="dxa"/>
          <w:trHeight w:val="361"/>
        </w:trPr>
        <w:tc>
          <w:tcPr>
            <w:tcW w:w="1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8" w14:textId="77777777" w:rsidR="004E0372" w:rsidRPr="0051318C" w:rsidRDefault="00AD4A89" w:rsidP="00762A9E">
            <w:pPr>
              <w:pStyle w:val="TableParagraph"/>
              <w:spacing w:before="119"/>
              <w:ind w:left="9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Preventive/Predictive</w:t>
            </w:r>
            <w:r w:rsidRPr="0051318C">
              <w:rPr>
                <w:rFonts w:ascii="Arial" w:hAnsi="Arial" w:cs="Arial"/>
                <w:spacing w:val="33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Maintenance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9" w14:textId="252572CA" w:rsidR="004E0372" w:rsidRPr="0051318C" w:rsidRDefault="009E3717" w:rsidP="00762A9E">
            <w:pPr>
              <w:pStyle w:val="TableParagraph"/>
              <w:spacing w:before="134" w:line="131" w:lineRule="exact"/>
              <w:ind w:left="44"/>
              <w:jc w:val="both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x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A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4ABFB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C" w14:textId="77777777" w:rsidR="004E0372" w:rsidRPr="0051318C" w:rsidRDefault="00AD4A89" w:rsidP="00762A9E">
            <w:pPr>
              <w:pStyle w:val="TableParagraph"/>
              <w:spacing w:before="110"/>
              <w:ind w:left="17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Procedures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D" w14:textId="2230E7BD" w:rsidR="004E0372" w:rsidRPr="0051318C" w:rsidRDefault="00261E7F" w:rsidP="00762A9E">
            <w:pPr>
              <w:pStyle w:val="TableParagraph"/>
              <w:spacing w:before="119"/>
              <w:ind w:left="18"/>
              <w:jc w:val="center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x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BFE" w14:textId="77777777" w:rsidR="004E0372" w:rsidRPr="0051318C" w:rsidRDefault="00AD4A89" w:rsidP="00762A9E">
            <w:pPr>
              <w:pStyle w:val="TableParagraph"/>
              <w:spacing w:before="119"/>
              <w:ind w:left="263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Management</w:t>
            </w:r>
            <w:r w:rsidRPr="0051318C">
              <w:rPr>
                <w:rFonts w:ascii="Arial" w:hAnsi="Arial" w:cs="Arial"/>
                <w:spacing w:val="-3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System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4ABFF" w14:textId="1497E38D" w:rsidR="004E0372" w:rsidRPr="0051318C" w:rsidRDefault="00532F38" w:rsidP="00762A9E">
            <w:pPr>
              <w:pStyle w:val="TableParagraph"/>
              <w:spacing w:before="119"/>
              <w:ind w:left="26"/>
              <w:jc w:val="center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x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0" w14:textId="77777777" w:rsidR="004E0372" w:rsidRPr="0051318C" w:rsidRDefault="00AD4A89" w:rsidP="00762A9E">
            <w:pPr>
              <w:pStyle w:val="TableParagraph"/>
              <w:spacing w:before="107"/>
              <w:ind w:left="16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Natural</w:t>
            </w:r>
            <w:r w:rsidRPr="0051318C">
              <w:rPr>
                <w:rFonts w:ascii="Arial" w:hAnsi="Arial" w:cs="Arial"/>
                <w:spacing w:val="-8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Peril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1054AC01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CD6EA2" w14:paraId="1054AC0D" w14:textId="77777777" w:rsidTr="00CD6EA2">
        <w:trPr>
          <w:gridAfter w:val="1"/>
          <w:wAfter w:w="6" w:type="dxa"/>
          <w:trHeight w:val="360"/>
        </w:trPr>
        <w:tc>
          <w:tcPr>
            <w:tcW w:w="196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3" w14:textId="77777777" w:rsidR="004E0372" w:rsidRPr="0051318C" w:rsidRDefault="00AD4A89" w:rsidP="00762A9E">
            <w:pPr>
              <w:pStyle w:val="TableParagraph"/>
              <w:spacing w:before="117"/>
              <w:ind w:left="9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Design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CA58364" w14:textId="77777777" w:rsidR="004E0372" w:rsidRPr="0051318C" w:rsidRDefault="004E0372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  <w:p w14:paraId="1054AC04" w14:textId="4B097E3D" w:rsidR="005D30FB" w:rsidRPr="0051318C" w:rsidRDefault="005D30FB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5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4AC06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7" w14:textId="77777777" w:rsidR="004E0372" w:rsidRPr="0051318C" w:rsidRDefault="00AD4A89" w:rsidP="00762A9E">
            <w:pPr>
              <w:pStyle w:val="TableParagraph"/>
              <w:spacing w:before="110"/>
              <w:ind w:left="17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Communications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90B91B9" w14:textId="77777777" w:rsidR="004E0372" w:rsidRPr="0051318C" w:rsidRDefault="004E0372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  <w:p w14:paraId="1054AC08" w14:textId="22946405" w:rsidR="005D30FB" w:rsidRPr="0051318C" w:rsidRDefault="005D30FB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9" w14:textId="77777777" w:rsidR="004E0372" w:rsidRPr="0051318C" w:rsidRDefault="00AD4A89" w:rsidP="00762A9E">
            <w:pPr>
              <w:pStyle w:val="TableParagraph"/>
              <w:spacing w:before="119"/>
              <w:ind w:left="263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Quality</w:t>
            </w:r>
            <w:r w:rsidRPr="0051318C">
              <w:rPr>
                <w:rFonts w:ascii="Arial" w:hAnsi="Arial" w:cs="Arial"/>
                <w:spacing w:val="-5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Control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63D60E4" w14:textId="77777777" w:rsidR="005D30FB" w:rsidRPr="0051318C" w:rsidRDefault="005D30FB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  <w:p w14:paraId="1054AC0A" w14:textId="410C9B45" w:rsidR="004E0372" w:rsidRPr="0051318C" w:rsidRDefault="004E0372" w:rsidP="00762A9E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B" w14:textId="77777777" w:rsidR="004E0372" w:rsidRPr="0051318C" w:rsidRDefault="00AD4A89" w:rsidP="00762A9E">
            <w:pPr>
              <w:pStyle w:val="TableParagraph"/>
              <w:spacing w:before="107"/>
              <w:ind w:left="16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Other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CC"/>
          </w:tcPr>
          <w:p w14:paraId="1054AC0C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CD6EA2" w14:paraId="1054AC18" w14:textId="77777777" w:rsidTr="00CD6EA2">
        <w:trPr>
          <w:gridAfter w:val="1"/>
          <w:wAfter w:w="6" w:type="dxa"/>
          <w:trHeight w:val="352"/>
        </w:trPr>
        <w:tc>
          <w:tcPr>
            <w:tcW w:w="196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FFFFCC"/>
          </w:tcPr>
          <w:p w14:paraId="1054AC0E" w14:textId="77777777" w:rsidR="004E0372" w:rsidRPr="0051318C" w:rsidRDefault="00AD4A89" w:rsidP="00762A9E">
            <w:pPr>
              <w:pStyle w:val="TableParagraph"/>
              <w:spacing w:before="117"/>
              <w:ind w:left="9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pacing w:val="-2"/>
                <w:sz w:val="12"/>
              </w:rPr>
              <w:t>Equipment/Parts</w:t>
            </w:r>
            <w:r w:rsidRPr="0051318C">
              <w:rPr>
                <w:rFonts w:ascii="Arial" w:hAnsi="Arial" w:cs="Arial"/>
                <w:spacing w:val="21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Defective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0F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10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1054AC11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8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12" w14:textId="77777777" w:rsidR="004E0372" w:rsidRPr="0051318C" w:rsidRDefault="00AD4A89" w:rsidP="00762A9E">
            <w:pPr>
              <w:pStyle w:val="TableParagraph"/>
              <w:spacing w:before="110"/>
              <w:ind w:left="17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Immediate</w:t>
            </w:r>
            <w:r w:rsidRPr="0051318C">
              <w:rPr>
                <w:rFonts w:ascii="Arial" w:hAnsi="Arial" w:cs="Arial"/>
                <w:spacing w:val="-5"/>
                <w:sz w:val="12"/>
              </w:rPr>
              <w:t xml:space="preserve"> </w:t>
            </w:r>
            <w:r w:rsidRPr="0051318C">
              <w:rPr>
                <w:rFonts w:ascii="Arial" w:hAnsi="Arial" w:cs="Arial"/>
                <w:spacing w:val="-2"/>
                <w:sz w:val="12"/>
              </w:rPr>
              <w:t>Supervision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13" w14:textId="01EB7C2C" w:rsidR="004E0372" w:rsidRPr="0051318C" w:rsidRDefault="004E0372" w:rsidP="00762A9E">
            <w:pPr>
              <w:pStyle w:val="TableParagraph"/>
              <w:spacing w:before="119"/>
              <w:ind w:left="18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14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1054AC15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1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1054AC16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FFFFCC"/>
          </w:tcPr>
          <w:p w14:paraId="1054AC17" w14:textId="77777777" w:rsidR="004E0372" w:rsidRPr="0051318C" w:rsidRDefault="004E0372" w:rsidP="00762A9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4E0372" w14:paraId="1054AC1A" w14:textId="77777777" w:rsidTr="00CD6EA2">
        <w:trPr>
          <w:trHeight w:val="253"/>
        </w:trPr>
        <w:tc>
          <w:tcPr>
            <w:tcW w:w="10312" w:type="dxa"/>
            <w:gridSpan w:val="11"/>
            <w:tcBorders>
              <w:left w:val="double" w:sz="6" w:space="0" w:color="000000"/>
              <w:right w:val="double" w:sz="6" w:space="0" w:color="000000"/>
            </w:tcBorders>
            <w:shd w:val="clear" w:color="auto" w:fill="1F497C"/>
          </w:tcPr>
          <w:p w14:paraId="1054AC19" w14:textId="77777777" w:rsidR="004E0372" w:rsidRPr="0051318C" w:rsidRDefault="00AD4A89" w:rsidP="00762A9E">
            <w:pPr>
              <w:pStyle w:val="TableParagraph"/>
              <w:spacing w:line="157" w:lineRule="exact"/>
              <w:ind w:left="29" w:right="11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color w:val="FFFFFF"/>
                <w:sz w:val="13"/>
                <w:u w:val="single" w:color="FFFFFF"/>
              </w:rPr>
              <w:t>Lessons</w:t>
            </w:r>
            <w:r w:rsidRPr="0051318C">
              <w:rPr>
                <w:rFonts w:ascii="Arial" w:hAnsi="Arial" w:cs="Arial"/>
                <w:b/>
                <w:color w:val="FFFFFF"/>
                <w:spacing w:val="6"/>
                <w:sz w:val="13"/>
                <w:u w:val="single" w:color="FFFFFF"/>
              </w:rPr>
              <w:t xml:space="preserve"> </w:t>
            </w:r>
            <w:r w:rsidRPr="0051318C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Learned</w:t>
            </w:r>
          </w:p>
        </w:tc>
      </w:tr>
      <w:tr w:rsidR="004E0372" w14:paraId="1054AC29" w14:textId="77777777" w:rsidTr="00CD6EA2">
        <w:trPr>
          <w:trHeight w:val="2927"/>
        </w:trPr>
        <w:tc>
          <w:tcPr>
            <w:tcW w:w="10312" w:type="dxa"/>
            <w:gridSpan w:val="11"/>
            <w:tcBorders>
              <w:left w:val="double" w:sz="6" w:space="0" w:color="000000"/>
              <w:right w:val="double" w:sz="6" w:space="0" w:color="000000"/>
            </w:tcBorders>
            <w:shd w:val="clear" w:color="auto" w:fill="FFFFCC"/>
          </w:tcPr>
          <w:p w14:paraId="1054AC1B" w14:textId="77777777" w:rsidR="004E0372" w:rsidRPr="0051318C" w:rsidRDefault="004E0372" w:rsidP="00762A9E">
            <w:pPr>
              <w:pStyle w:val="TableParagraph"/>
              <w:spacing w:before="11"/>
              <w:rPr>
                <w:rFonts w:ascii="Arial" w:hAnsi="Arial" w:cs="Arial"/>
                <w:sz w:val="12"/>
                <w:szCs w:val="12"/>
              </w:rPr>
            </w:pPr>
          </w:p>
          <w:p w14:paraId="20818123" w14:textId="77777777" w:rsidR="00A609C4" w:rsidRPr="0051318C" w:rsidRDefault="00335D90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>Well Failure Mode Risk Assessment and Design Reviews</w:t>
            </w:r>
            <w:r w:rsidR="006614E1" w:rsidRPr="0051318C">
              <w:rPr>
                <w:rFonts w:ascii="Arial" w:hAnsi="Arial" w:cs="Arial"/>
                <w:sz w:val="12"/>
                <w:szCs w:val="12"/>
              </w:rPr>
              <w:t xml:space="preserve"> to establish Well Integrity Criteria</w:t>
            </w:r>
          </w:p>
          <w:p w14:paraId="7D9E5F9C" w14:textId="00FBBBE7" w:rsidR="004E0372" w:rsidRPr="0051318C" w:rsidRDefault="002274AF" w:rsidP="00762A9E">
            <w:pPr>
              <w:ind w:left="720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Well </w:t>
            </w:r>
            <w:r w:rsidR="00D54DD8" w:rsidRPr="0051318C">
              <w:rPr>
                <w:rFonts w:ascii="Arial" w:hAnsi="Arial" w:cs="Arial"/>
                <w:sz w:val="12"/>
                <w:szCs w:val="12"/>
              </w:rPr>
              <w:t>integrity must be managed as a life-cycle process with robust barrier philosophy</w:t>
            </w:r>
          </w:p>
          <w:p w14:paraId="77610E5C" w14:textId="77777777" w:rsidR="00B056D9" w:rsidRPr="0051318C" w:rsidRDefault="00B056D9" w:rsidP="00762A9E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56FF61BF" w14:textId="77777777" w:rsidR="00A609C4" w:rsidRPr="0051318C" w:rsidRDefault="00C72A1B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Well </w:t>
            </w:r>
            <w:r w:rsidR="00B056D9" w:rsidRPr="0051318C">
              <w:rPr>
                <w:rFonts w:ascii="Arial" w:hAnsi="Arial" w:cs="Arial"/>
                <w:sz w:val="12"/>
                <w:szCs w:val="12"/>
              </w:rPr>
              <w:t>Integrity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 Operating Philosophy</w:t>
            </w:r>
            <w:r w:rsidR="00B056D9" w:rsidRPr="0051318C">
              <w:rPr>
                <w:rFonts w:ascii="Arial" w:hAnsi="Arial" w:cs="Arial"/>
                <w:sz w:val="12"/>
                <w:szCs w:val="12"/>
              </w:rPr>
              <w:t xml:space="preserve"> Implementation</w:t>
            </w:r>
            <w:r w:rsidR="00E1114D" w:rsidRPr="0051318C">
              <w:rPr>
                <w:rFonts w:ascii="Arial" w:hAnsi="Arial" w:cs="Arial"/>
                <w:sz w:val="12"/>
                <w:szCs w:val="12"/>
              </w:rPr>
              <w:t xml:space="preserve">, including </w:t>
            </w:r>
            <w:r w:rsidR="0070414A" w:rsidRPr="0051318C">
              <w:rPr>
                <w:rFonts w:ascii="Arial" w:hAnsi="Arial" w:cs="Arial"/>
                <w:sz w:val="12"/>
                <w:szCs w:val="12"/>
              </w:rPr>
              <w:t xml:space="preserve">instructions in the event a well fails </w:t>
            </w:r>
            <w:r w:rsidR="00F25051" w:rsidRPr="0051318C">
              <w:rPr>
                <w:rFonts w:ascii="Arial" w:hAnsi="Arial" w:cs="Arial"/>
                <w:sz w:val="12"/>
                <w:szCs w:val="12"/>
              </w:rPr>
              <w:t>any of the well integrity criteria</w:t>
            </w:r>
          </w:p>
          <w:p w14:paraId="4AE80923" w14:textId="5464323B" w:rsidR="00500DF2" w:rsidRPr="0051318C" w:rsidRDefault="00E320E8" w:rsidP="00762A9E">
            <w:pPr>
              <w:ind w:left="720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>The Well Integrity Management System (WIMS)</w:t>
            </w:r>
            <w:r w:rsidR="007B01F5" w:rsidRPr="0051318C">
              <w:rPr>
                <w:rFonts w:ascii="Arial" w:hAnsi="Arial" w:cs="Arial"/>
                <w:sz w:val="12"/>
                <w:szCs w:val="12"/>
              </w:rPr>
              <w:t xml:space="preserve"> must be updated upon </w:t>
            </w:r>
            <w:proofErr w:type="gramStart"/>
            <w:r w:rsidR="007B01F5" w:rsidRPr="0051318C">
              <w:rPr>
                <w:rFonts w:ascii="Arial" w:hAnsi="Arial" w:cs="Arial"/>
                <w:sz w:val="12"/>
                <w:szCs w:val="12"/>
              </w:rPr>
              <w:t>detecting well</w:t>
            </w:r>
            <w:proofErr w:type="gramEnd"/>
            <w:r w:rsidR="007B01F5" w:rsidRPr="0051318C">
              <w:rPr>
                <w:rFonts w:ascii="Arial" w:hAnsi="Arial" w:cs="Arial"/>
                <w:sz w:val="12"/>
                <w:szCs w:val="12"/>
              </w:rPr>
              <w:t xml:space="preserve"> abnormal </w:t>
            </w:r>
            <w:proofErr w:type="spellStart"/>
            <w:r w:rsidR="007B01F5" w:rsidRPr="0051318C">
              <w:rPr>
                <w:rFonts w:ascii="Arial" w:hAnsi="Arial" w:cs="Arial"/>
                <w:sz w:val="12"/>
                <w:szCs w:val="12"/>
              </w:rPr>
              <w:t>behaviour</w:t>
            </w:r>
            <w:proofErr w:type="spellEnd"/>
            <w:r w:rsidR="007B01F5" w:rsidRPr="0051318C">
              <w:rPr>
                <w:rFonts w:ascii="Arial" w:hAnsi="Arial" w:cs="Arial"/>
                <w:sz w:val="12"/>
                <w:szCs w:val="12"/>
              </w:rPr>
              <w:t>, to ensure relevant mitigation measures are in place and will reduce the risk</w:t>
            </w:r>
            <w:r w:rsidR="00A72C53" w:rsidRPr="0051318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5AC4060" w14:textId="763880D5" w:rsidR="0053485F" w:rsidRPr="0051318C" w:rsidRDefault="00500DF2" w:rsidP="00762A9E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A72C53" w:rsidRPr="0051318C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 w:rsidR="00A72C53" w:rsidRPr="0051318C">
              <w:rPr>
                <w:rFonts w:ascii="Arial" w:hAnsi="Arial" w:cs="Arial"/>
                <w:sz w:val="12"/>
                <w:szCs w:val="12"/>
              </w:rPr>
              <w:t>to as low as reasonably practical (ALARP)</w:t>
            </w:r>
            <w:r w:rsidR="00A609C4" w:rsidRPr="0051318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44D622E" w14:textId="77777777" w:rsidR="00065C00" w:rsidRPr="0051318C" w:rsidRDefault="00065C00" w:rsidP="00762A9E">
            <w:pPr>
              <w:ind w:left="720"/>
              <w:rPr>
                <w:rFonts w:ascii="Arial" w:hAnsi="Arial" w:cs="Arial"/>
                <w:sz w:val="12"/>
                <w:szCs w:val="12"/>
              </w:rPr>
            </w:pPr>
          </w:p>
          <w:p w14:paraId="4FAFC522" w14:textId="77777777" w:rsidR="00607053" w:rsidRPr="0051318C" w:rsidRDefault="009E2584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Monitoring and Reporting of Well Annuli </w:t>
            </w:r>
            <w:r w:rsidR="00607053" w:rsidRPr="0051318C">
              <w:rPr>
                <w:rFonts w:ascii="Arial" w:hAnsi="Arial" w:cs="Arial"/>
                <w:sz w:val="12"/>
                <w:szCs w:val="12"/>
              </w:rPr>
              <w:t>Compliance with Well Integrity Criteria</w:t>
            </w:r>
          </w:p>
          <w:p w14:paraId="6BE32C50" w14:textId="22E7ECCF" w:rsidR="003D28BF" w:rsidRPr="0051318C" w:rsidRDefault="00E752DD" w:rsidP="00762A9E">
            <w:pPr>
              <w:ind w:left="720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>A</w:t>
            </w:r>
            <w:r w:rsidR="003D28BF" w:rsidRPr="0051318C">
              <w:rPr>
                <w:rFonts w:ascii="Arial" w:hAnsi="Arial" w:cs="Arial"/>
                <w:sz w:val="12"/>
                <w:szCs w:val="12"/>
              </w:rPr>
              <w:t>nnulus management systems should include proactive risk assessments</w:t>
            </w:r>
          </w:p>
          <w:p w14:paraId="21CDD8BC" w14:textId="77777777" w:rsidR="0086118D" w:rsidRPr="0051318C" w:rsidRDefault="0086118D" w:rsidP="00762A9E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55B9167" w14:textId="77777777" w:rsidR="00613260" w:rsidRPr="0051318C" w:rsidRDefault="0086118D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Full Technical Review of </w:t>
            </w:r>
            <w:r w:rsidR="00613260" w:rsidRPr="0051318C">
              <w:rPr>
                <w:rFonts w:ascii="Arial" w:hAnsi="Arial" w:cs="Arial"/>
                <w:sz w:val="12"/>
                <w:szCs w:val="12"/>
              </w:rPr>
              <w:t>all Wells vs Current Formation Conditions</w:t>
            </w:r>
          </w:p>
          <w:p w14:paraId="09132663" w14:textId="77777777" w:rsidR="00613260" w:rsidRPr="0051318C" w:rsidRDefault="00613260" w:rsidP="00762A9E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01378B1D" w14:textId="5E98C60F" w:rsidR="0080265B" w:rsidRPr="0051318C" w:rsidRDefault="00DD1A17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The </w:t>
            </w:r>
            <w:r w:rsidR="00293C69" w:rsidRPr="0051318C">
              <w:rPr>
                <w:rFonts w:ascii="Arial" w:hAnsi="Arial" w:cs="Arial"/>
                <w:sz w:val="12"/>
                <w:szCs w:val="12"/>
              </w:rPr>
              <w:t>well bar</w:t>
            </w:r>
            <w:r w:rsidR="00842319" w:rsidRPr="0051318C">
              <w:rPr>
                <w:rFonts w:ascii="Arial" w:hAnsi="Arial" w:cs="Arial"/>
                <w:sz w:val="12"/>
                <w:szCs w:val="12"/>
              </w:rPr>
              <w:t>riers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 isolating the reservoir from the atmosphere</w:t>
            </w:r>
            <w:r w:rsidR="002E385D" w:rsidRPr="0051318C">
              <w:rPr>
                <w:rFonts w:ascii="Arial" w:hAnsi="Arial" w:cs="Arial"/>
                <w:sz w:val="12"/>
                <w:szCs w:val="12"/>
              </w:rPr>
              <w:t xml:space="preserve"> should be </w:t>
            </w:r>
            <w:proofErr w:type="gramStart"/>
            <w:r w:rsidR="002E385D" w:rsidRPr="0051318C">
              <w:rPr>
                <w:rFonts w:ascii="Arial" w:hAnsi="Arial" w:cs="Arial"/>
                <w:sz w:val="12"/>
                <w:szCs w:val="12"/>
              </w:rPr>
              <w:t>preserved (2 minimum)</w:t>
            </w:r>
            <w:r w:rsidR="00F864E9" w:rsidRPr="0051318C">
              <w:rPr>
                <w:rFonts w:ascii="Arial" w:hAnsi="Arial" w:cs="Arial"/>
                <w:sz w:val="12"/>
                <w:szCs w:val="12"/>
              </w:rPr>
              <w:t xml:space="preserve"> at all times</w:t>
            </w:r>
            <w:proofErr w:type="gramEnd"/>
            <w:r w:rsidR="00F864E9" w:rsidRPr="0051318C">
              <w:rPr>
                <w:rFonts w:ascii="Arial" w:hAnsi="Arial" w:cs="Arial"/>
                <w:sz w:val="12"/>
                <w:szCs w:val="12"/>
              </w:rPr>
              <w:t>, a</w:t>
            </w:r>
            <w:r w:rsidR="00676EF7" w:rsidRPr="0051318C">
              <w:rPr>
                <w:rFonts w:ascii="Arial" w:hAnsi="Arial" w:cs="Arial"/>
                <w:sz w:val="12"/>
                <w:szCs w:val="12"/>
              </w:rPr>
              <w:t xml:space="preserve">ny </w:t>
            </w:r>
            <w:r w:rsidR="004600B3" w:rsidRPr="0051318C">
              <w:rPr>
                <w:rFonts w:ascii="Arial" w:hAnsi="Arial" w:cs="Arial"/>
                <w:sz w:val="12"/>
                <w:szCs w:val="12"/>
              </w:rPr>
              <w:t xml:space="preserve">change in </w:t>
            </w:r>
            <w:r w:rsidR="00676EF7" w:rsidRPr="0051318C">
              <w:rPr>
                <w:rFonts w:ascii="Arial" w:hAnsi="Arial" w:cs="Arial"/>
                <w:sz w:val="12"/>
                <w:szCs w:val="12"/>
              </w:rPr>
              <w:t xml:space="preserve">well </w:t>
            </w:r>
            <w:r w:rsidR="004600B3" w:rsidRPr="0051318C">
              <w:rPr>
                <w:rFonts w:ascii="Arial" w:hAnsi="Arial" w:cs="Arial"/>
                <w:sz w:val="12"/>
                <w:szCs w:val="12"/>
              </w:rPr>
              <w:t xml:space="preserve">conditions </w:t>
            </w:r>
            <w:r w:rsidR="00A26F77" w:rsidRPr="0051318C">
              <w:rPr>
                <w:rFonts w:ascii="Arial" w:hAnsi="Arial" w:cs="Arial"/>
                <w:sz w:val="12"/>
                <w:szCs w:val="12"/>
              </w:rPr>
              <w:t xml:space="preserve">downgrading this </w:t>
            </w:r>
            <w:r w:rsidR="002B283B" w:rsidRPr="0051318C">
              <w:rPr>
                <w:rFonts w:ascii="Arial" w:hAnsi="Arial" w:cs="Arial"/>
                <w:sz w:val="12"/>
                <w:szCs w:val="12"/>
              </w:rPr>
              <w:t>should be subject to a comprehensive risk assessment</w:t>
            </w:r>
            <w:r w:rsidR="00CF574C" w:rsidRPr="0051318C">
              <w:rPr>
                <w:rFonts w:ascii="Arial" w:hAnsi="Arial" w:cs="Arial"/>
                <w:sz w:val="12"/>
                <w:szCs w:val="12"/>
              </w:rPr>
              <w:t xml:space="preserve"> to define and implement </w:t>
            </w:r>
            <w:r w:rsidR="002F26A9" w:rsidRPr="0051318C">
              <w:rPr>
                <w:rFonts w:ascii="Arial" w:hAnsi="Arial" w:cs="Arial"/>
                <w:sz w:val="12"/>
                <w:szCs w:val="12"/>
              </w:rPr>
              <w:t>any compensatory and/or corrective action</w:t>
            </w:r>
          </w:p>
          <w:p w14:paraId="3D510371" w14:textId="77777777" w:rsidR="0031552C" w:rsidRPr="0051318C" w:rsidRDefault="0031552C" w:rsidP="00762A9E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02ACE16F" w14:textId="7B8ACBB1" w:rsidR="0031552C" w:rsidRPr="0051318C" w:rsidRDefault="0031552C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Procedures for Preparing and Implementing Well Intervention </w:t>
            </w:r>
            <w:proofErr w:type="spellStart"/>
            <w:r w:rsidRPr="0051318C">
              <w:rPr>
                <w:rFonts w:ascii="Arial" w:hAnsi="Arial" w:cs="Arial"/>
                <w:sz w:val="12"/>
                <w:szCs w:val="12"/>
              </w:rPr>
              <w:t>Programmes</w:t>
            </w:r>
            <w:proofErr w:type="spellEnd"/>
          </w:p>
          <w:p w14:paraId="3010FB77" w14:textId="77777777" w:rsidR="003A6B16" w:rsidRPr="0051318C" w:rsidRDefault="003A6B16" w:rsidP="00762A9E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1B4B85B5" w14:textId="77777777" w:rsidR="00185F15" w:rsidRPr="0051318C" w:rsidRDefault="003D28BF" w:rsidP="00762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Emergency </w:t>
            </w:r>
            <w:r w:rsidR="00882D38" w:rsidRPr="0051318C">
              <w:rPr>
                <w:rFonts w:ascii="Arial" w:hAnsi="Arial" w:cs="Arial"/>
                <w:sz w:val="12"/>
                <w:szCs w:val="12"/>
              </w:rPr>
              <w:t>R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esponse </w:t>
            </w:r>
            <w:r w:rsidR="00882D38" w:rsidRPr="0051318C">
              <w:rPr>
                <w:rFonts w:ascii="Arial" w:hAnsi="Arial" w:cs="Arial"/>
                <w:sz w:val="12"/>
                <w:szCs w:val="12"/>
              </w:rPr>
              <w:t>P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lanning and </w:t>
            </w:r>
            <w:r w:rsidR="00882D38" w:rsidRPr="0051318C">
              <w:rPr>
                <w:rFonts w:ascii="Arial" w:hAnsi="Arial" w:cs="Arial"/>
                <w:sz w:val="12"/>
                <w:szCs w:val="12"/>
              </w:rPr>
              <w:t>D</w:t>
            </w:r>
            <w:r w:rsidRPr="0051318C">
              <w:rPr>
                <w:rFonts w:ascii="Arial" w:hAnsi="Arial" w:cs="Arial"/>
                <w:sz w:val="12"/>
                <w:szCs w:val="12"/>
              </w:rPr>
              <w:t xml:space="preserve">rills </w:t>
            </w:r>
            <w:r w:rsidR="00882D38" w:rsidRPr="0051318C">
              <w:rPr>
                <w:rFonts w:ascii="Arial" w:hAnsi="Arial" w:cs="Arial"/>
                <w:sz w:val="12"/>
                <w:szCs w:val="12"/>
              </w:rPr>
              <w:t>(</w:t>
            </w:r>
            <w:r w:rsidRPr="0051318C">
              <w:rPr>
                <w:rFonts w:ascii="Arial" w:hAnsi="Arial" w:cs="Arial"/>
                <w:sz w:val="12"/>
                <w:szCs w:val="12"/>
              </w:rPr>
              <w:t>critical for major accident hazard management</w:t>
            </w:r>
            <w:r w:rsidR="00882D38" w:rsidRPr="0051318C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168BCCB0" w14:textId="77777777" w:rsidR="003A6B16" w:rsidRPr="0051318C" w:rsidRDefault="003A6B16" w:rsidP="00762A9E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004182F0" w14:textId="77777777" w:rsidR="00106FDC" w:rsidRPr="0051318C" w:rsidRDefault="00106FDC" w:rsidP="00762A9E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3B552CB2" w14:textId="08DA3A73" w:rsidR="00931C5E" w:rsidRPr="0051318C" w:rsidRDefault="00106FDC" w:rsidP="00762A9E">
            <w:pPr>
              <w:pStyle w:val="ListParagraph"/>
              <w:ind w:left="34" w:right="11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The G4 incident </w:t>
            </w:r>
            <w:r w:rsidR="00E95ACD" w:rsidRPr="0051318C">
              <w:rPr>
                <w:rFonts w:ascii="Arial" w:hAnsi="Arial" w:cs="Arial"/>
                <w:sz w:val="12"/>
                <w:szCs w:val="12"/>
              </w:rPr>
              <w:t xml:space="preserve">investigation </w:t>
            </w:r>
            <w:r w:rsidR="003377B5" w:rsidRPr="0051318C">
              <w:rPr>
                <w:rFonts w:ascii="Arial" w:hAnsi="Arial" w:cs="Arial"/>
                <w:sz w:val="12"/>
                <w:szCs w:val="12"/>
              </w:rPr>
              <w:t>evidenced</w:t>
            </w:r>
            <w:r w:rsidR="00E95ACD" w:rsidRPr="0051318C">
              <w:rPr>
                <w:rFonts w:ascii="Arial" w:hAnsi="Arial" w:cs="Arial"/>
                <w:sz w:val="12"/>
                <w:szCs w:val="12"/>
              </w:rPr>
              <w:t xml:space="preserve"> the </w:t>
            </w:r>
            <w:r w:rsidR="0042776F" w:rsidRPr="0051318C">
              <w:rPr>
                <w:rFonts w:ascii="Arial" w:hAnsi="Arial" w:cs="Arial"/>
                <w:sz w:val="12"/>
                <w:szCs w:val="12"/>
              </w:rPr>
              <w:t>loss</w:t>
            </w:r>
            <w:r w:rsidR="00E95ACD" w:rsidRPr="0051318C">
              <w:rPr>
                <w:rFonts w:ascii="Arial" w:hAnsi="Arial" w:cs="Arial"/>
                <w:sz w:val="12"/>
                <w:szCs w:val="12"/>
              </w:rPr>
              <w:t xml:space="preserve"> resulted </w:t>
            </w:r>
            <w:r w:rsidR="00A76173" w:rsidRPr="0051318C">
              <w:rPr>
                <w:rFonts w:ascii="Arial" w:hAnsi="Arial" w:cs="Arial"/>
                <w:sz w:val="12"/>
                <w:szCs w:val="12"/>
              </w:rPr>
              <w:t xml:space="preserve">for a combination of several events, some of which were difficult to predict, else not being </w:t>
            </w:r>
            <w:r w:rsidR="004E4C53" w:rsidRPr="0051318C">
              <w:rPr>
                <w:rFonts w:ascii="Arial" w:hAnsi="Arial" w:cs="Arial"/>
                <w:sz w:val="12"/>
                <w:szCs w:val="12"/>
              </w:rPr>
              <w:t xml:space="preserve">fully </w:t>
            </w:r>
            <w:r w:rsidR="00AE1310" w:rsidRPr="0051318C">
              <w:rPr>
                <w:rFonts w:ascii="Arial" w:hAnsi="Arial" w:cs="Arial"/>
                <w:sz w:val="12"/>
                <w:szCs w:val="12"/>
              </w:rPr>
              <w:t>considered as part of ongoing assessments</w:t>
            </w:r>
            <w:r w:rsidR="004E4C53" w:rsidRPr="0051318C">
              <w:rPr>
                <w:rFonts w:ascii="Arial" w:hAnsi="Arial" w:cs="Arial"/>
                <w:sz w:val="12"/>
                <w:szCs w:val="12"/>
              </w:rPr>
              <w:t xml:space="preserve">.  </w:t>
            </w:r>
            <w:r w:rsidR="003F442A" w:rsidRPr="0051318C">
              <w:rPr>
                <w:rFonts w:ascii="Arial" w:hAnsi="Arial" w:cs="Arial"/>
                <w:sz w:val="12"/>
                <w:szCs w:val="12"/>
              </w:rPr>
              <w:t>C</w:t>
            </w:r>
            <w:r w:rsidR="004E4C53" w:rsidRPr="0051318C">
              <w:rPr>
                <w:rFonts w:ascii="Arial" w:hAnsi="Arial" w:cs="Arial"/>
                <w:sz w:val="12"/>
                <w:szCs w:val="12"/>
              </w:rPr>
              <w:t>hanging field conditions</w:t>
            </w:r>
            <w:r w:rsidR="006F22E6" w:rsidRPr="0051318C">
              <w:rPr>
                <w:rFonts w:ascii="Arial" w:hAnsi="Arial" w:cs="Arial"/>
                <w:sz w:val="12"/>
                <w:szCs w:val="12"/>
              </w:rPr>
              <w:t xml:space="preserve">, presence of </w:t>
            </w:r>
            <w:r w:rsidR="003F442A" w:rsidRPr="0051318C">
              <w:rPr>
                <w:rFonts w:ascii="Arial" w:hAnsi="Arial" w:cs="Arial"/>
                <w:sz w:val="12"/>
                <w:szCs w:val="12"/>
              </w:rPr>
              <w:t>(known) failed well barriers</w:t>
            </w:r>
            <w:r w:rsidR="00163662" w:rsidRPr="0051318C">
              <w:rPr>
                <w:rFonts w:ascii="Arial" w:hAnsi="Arial" w:cs="Arial"/>
                <w:sz w:val="12"/>
                <w:szCs w:val="12"/>
              </w:rPr>
              <w:t xml:space="preserve"> resulting in sustained casing pressures </w:t>
            </w:r>
            <w:r w:rsidR="003F442A" w:rsidRPr="0051318C">
              <w:rPr>
                <w:rFonts w:ascii="Arial" w:hAnsi="Arial" w:cs="Arial"/>
                <w:sz w:val="12"/>
                <w:szCs w:val="12"/>
              </w:rPr>
              <w:t xml:space="preserve">and limitations of design of outer casings all </w:t>
            </w:r>
            <w:r w:rsidR="00A049DE" w:rsidRPr="0051318C">
              <w:rPr>
                <w:rFonts w:ascii="Arial" w:hAnsi="Arial" w:cs="Arial"/>
                <w:sz w:val="12"/>
                <w:szCs w:val="12"/>
              </w:rPr>
              <w:t>led to a flow path to surface being created</w:t>
            </w:r>
            <w:r w:rsidR="003F195C" w:rsidRPr="0051318C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A4E1F47" w14:textId="77777777" w:rsidR="001E2670" w:rsidRPr="0051318C" w:rsidRDefault="001E2670" w:rsidP="00762A9E">
            <w:pPr>
              <w:pStyle w:val="ListParagraph"/>
              <w:ind w:left="34" w:right="11"/>
              <w:rPr>
                <w:rFonts w:ascii="Arial" w:hAnsi="Arial" w:cs="Arial"/>
                <w:sz w:val="12"/>
                <w:szCs w:val="12"/>
              </w:rPr>
            </w:pPr>
          </w:p>
          <w:p w14:paraId="3699DFD3" w14:textId="63AD913C" w:rsidR="001E2670" w:rsidRPr="0051318C" w:rsidRDefault="001E2670" w:rsidP="00762A9E">
            <w:pPr>
              <w:pStyle w:val="ListParagraph"/>
              <w:ind w:left="34" w:right="11"/>
              <w:rPr>
                <w:rFonts w:ascii="Arial" w:hAnsi="Arial" w:cs="Arial"/>
                <w:sz w:val="12"/>
                <w:szCs w:val="12"/>
              </w:rPr>
            </w:pPr>
            <w:r w:rsidRPr="0051318C">
              <w:rPr>
                <w:rFonts w:ascii="Arial" w:hAnsi="Arial" w:cs="Arial"/>
                <w:sz w:val="12"/>
                <w:szCs w:val="12"/>
              </w:rPr>
              <w:t xml:space="preserve">Noted that </w:t>
            </w:r>
            <w:r w:rsidR="00C4775C" w:rsidRPr="0051318C">
              <w:rPr>
                <w:rFonts w:ascii="Arial" w:hAnsi="Arial" w:cs="Arial"/>
                <w:sz w:val="12"/>
                <w:szCs w:val="12"/>
              </w:rPr>
              <w:t xml:space="preserve">emergency response managed </w:t>
            </w:r>
            <w:r w:rsidR="004F6D2E" w:rsidRPr="0051318C">
              <w:rPr>
                <w:rFonts w:ascii="Arial" w:hAnsi="Arial" w:cs="Arial"/>
                <w:sz w:val="12"/>
                <w:szCs w:val="12"/>
              </w:rPr>
              <w:t xml:space="preserve">down manning from </w:t>
            </w:r>
            <w:r w:rsidR="009A5F94" w:rsidRPr="0051318C">
              <w:rPr>
                <w:rFonts w:ascii="Arial" w:hAnsi="Arial" w:cs="Arial"/>
                <w:sz w:val="12"/>
                <w:szCs w:val="12"/>
              </w:rPr>
              <w:t xml:space="preserve">238 to 19 </w:t>
            </w:r>
            <w:r w:rsidR="00612636" w:rsidRPr="0051318C">
              <w:rPr>
                <w:rFonts w:ascii="Arial" w:hAnsi="Arial" w:cs="Arial"/>
                <w:sz w:val="12"/>
                <w:szCs w:val="12"/>
              </w:rPr>
              <w:t xml:space="preserve">essential </w:t>
            </w:r>
            <w:r w:rsidR="009A5F94" w:rsidRPr="0051318C">
              <w:rPr>
                <w:rFonts w:ascii="Arial" w:hAnsi="Arial" w:cs="Arial"/>
                <w:sz w:val="12"/>
                <w:szCs w:val="12"/>
              </w:rPr>
              <w:t xml:space="preserve">persons in just over 3 hours, </w:t>
            </w:r>
            <w:r w:rsidR="00413D6A" w:rsidRPr="0051318C">
              <w:rPr>
                <w:rFonts w:ascii="Arial" w:hAnsi="Arial" w:cs="Arial"/>
                <w:sz w:val="12"/>
                <w:szCs w:val="12"/>
              </w:rPr>
              <w:t>with follow-up commitment of three further intervention rigs</w:t>
            </w:r>
            <w:r w:rsidR="008758B7" w:rsidRPr="0051318C">
              <w:rPr>
                <w:rFonts w:ascii="Arial" w:hAnsi="Arial" w:cs="Arial"/>
                <w:sz w:val="12"/>
                <w:szCs w:val="12"/>
              </w:rPr>
              <w:t>, stand-by clean-up vessels, guard vessels and overflights.</w:t>
            </w:r>
          </w:p>
          <w:p w14:paraId="052209F2" w14:textId="77777777" w:rsidR="00931C5E" w:rsidRPr="0051318C" w:rsidRDefault="00931C5E" w:rsidP="00762A9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54AC28" w14:textId="4D72B000" w:rsidR="00D9165E" w:rsidRPr="0051318C" w:rsidRDefault="00D9165E" w:rsidP="00762A9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E0372" w14:paraId="1054AC2B" w14:textId="77777777" w:rsidTr="00CD6EA2">
        <w:trPr>
          <w:trHeight w:val="252"/>
        </w:trPr>
        <w:tc>
          <w:tcPr>
            <w:tcW w:w="10312" w:type="dxa"/>
            <w:gridSpan w:val="11"/>
            <w:tcBorders>
              <w:left w:val="double" w:sz="6" w:space="0" w:color="000000"/>
              <w:right w:val="double" w:sz="6" w:space="0" w:color="000000"/>
            </w:tcBorders>
            <w:shd w:val="clear" w:color="auto" w:fill="1F497C"/>
          </w:tcPr>
          <w:p w14:paraId="1054AC2A" w14:textId="77777777" w:rsidR="004E0372" w:rsidRPr="0051318C" w:rsidRDefault="00AD4A89" w:rsidP="00762A9E">
            <w:pPr>
              <w:pStyle w:val="TableParagraph"/>
              <w:spacing w:before="46"/>
              <w:ind w:left="29"/>
              <w:jc w:val="center"/>
              <w:rPr>
                <w:rFonts w:ascii="Arial" w:hAnsi="Arial" w:cs="Arial"/>
                <w:b/>
                <w:sz w:val="13"/>
              </w:rPr>
            </w:pPr>
            <w:r w:rsidRPr="0051318C">
              <w:rPr>
                <w:rFonts w:ascii="Arial" w:hAnsi="Arial" w:cs="Arial"/>
                <w:b/>
                <w:color w:val="FFFFFF"/>
                <w:spacing w:val="-2"/>
                <w:sz w:val="13"/>
                <w:u w:val="single" w:color="FFFFFF"/>
              </w:rPr>
              <w:t>References</w:t>
            </w:r>
          </w:p>
        </w:tc>
      </w:tr>
      <w:tr w:rsidR="004E0372" w14:paraId="1054AC31" w14:textId="77777777" w:rsidTr="00CD6EA2">
        <w:trPr>
          <w:trHeight w:val="579"/>
        </w:trPr>
        <w:tc>
          <w:tcPr>
            <w:tcW w:w="10312" w:type="dxa"/>
            <w:gridSpan w:val="11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</w:tcPr>
          <w:p w14:paraId="1940CECA" w14:textId="77777777" w:rsidR="00B44008" w:rsidRPr="0051318C" w:rsidRDefault="00B44008" w:rsidP="00762A9E">
            <w:pPr>
              <w:pStyle w:val="TableParagraph"/>
              <w:tabs>
                <w:tab w:val="left" w:pos="126"/>
              </w:tabs>
              <w:ind w:left="126"/>
              <w:rPr>
                <w:rFonts w:ascii="Arial" w:hAnsi="Arial" w:cs="Arial"/>
                <w:sz w:val="12"/>
              </w:rPr>
            </w:pPr>
          </w:p>
          <w:p w14:paraId="4B6233BA" w14:textId="3C2CAEF5" w:rsidR="00CC68F4" w:rsidRPr="0051318C" w:rsidRDefault="001B7EF5" w:rsidP="00762A9E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 xml:space="preserve">The Elgin Incident Investigation </w:t>
            </w:r>
            <w:r w:rsidR="008126E8" w:rsidRPr="0051318C">
              <w:rPr>
                <w:rFonts w:ascii="Arial" w:hAnsi="Arial" w:cs="Arial"/>
                <w:sz w:val="12"/>
              </w:rPr>
              <w:t>by</w:t>
            </w:r>
            <w:r w:rsidRPr="0051318C">
              <w:rPr>
                <w:rFonts w:ascii="Arial" w:hAnsi="Arial" w:cs="Arial"/>
                <w:sz w:val="12"/>
              </w:rPr>
              <w:t xml:space="preserve"> Health &amp; Safety Executive</w:t>
            </w:r>
            <w:r w:rsidR="008126E8" w:rsidRPr="0051318C">
              <w:rPr>
                <w:rFonts w:ascii="Arial" w:hAnsi="Arial" w:cs="Arial"/>
                <w:sz w:val="12"/>
              </w:rPr>
              <w:t xml:space="preserve"> (</w:t>
            </w:r>
            <w:r w:rsidRPr="0051318C">
              <w:rPr>
                <w:rFonts w:ascii="Arial" w:hAnsi="Arial" w:cs="Arial"/>
                <w:sz w:val="12"/>
              </w:rPr>
              <w:t>HSE</w:t>
            </w:r>
            <w:r w:rsidR="008126E8" w:rsidRPr="0051318C">
              <w:rPr>
                <w:rFonts w:ascii="Arial" w:hAnsi="Arial" w:cs="Arial"/>
                <w:sz w:val="12"/>
              </w:rPr>
              <w:t>)</w:t>
            </w:r>
            <w:r w:rsidRPr="0051318C">
              <w:rPr>
                <w:rFonts w:ascii="Arial" w:hAnsi="Arial" w:cs="Arial"/>
                <w:sz w:val="12"/>
              </w:rPr>
              <w:t xml:space="preserve"> </w:t>
            </w:r>
            <w:r w:rsidR="00830CC3" w:rsidRPr="0051318C">
              <w:rPr>
                <w:rFonts w:ascii="Arial" w:hAnsi="Arial" w:cs="Arial"/>
                <w:sz w:val="12"/>
              </w:rPr>
              <w:t>Hazardous Installations Directorate</w:t>
            </w:r>
            <w:r w:rsidR="008126E8" w:rsidRPr="0051318C">
              <w:rPr>
                <w:rFonts w:ascii="Arial" w:hAnsi="Arial" w:cs="Arial"/>
                <w:sz w:val="12"/>
              </w:rPr>
              <w:t xml:space="preserve">, Energy Division, </w:t>
            </w:r>
            <w:r w:rsidR="00830CC3" w:rsidRPr="0051318C">
              <w:rPr>
                <w:rFonts w:ascii="Arial" w:hAnsi="Arial" w:cs="Arial"/>
                <w:sz w:val="12"/>
              </w:rPr>
              <w:t>March 2014</w:t>
            </w:r>
          </w:p>
          <w:p w14:paraId="40F1F9F1" w14:textId="77777777" w:rsidR="00785663" w:rsidRPr="0051318C" w:rsidRDefault="00785663" w:rsidP="00762A9E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Elgin G4 Gas Release: What Happened and The Lessons to Prevent Recurrence - Society of Petroleum Engineers Paper 168478 March 2014</w:t>
            </w:r>
          </w:p>
          <w:p w14:paraId="03AA9B83" w14:textId="77777777" w:rsidR="004B6D12" w:rsidRPr="0051318C" w:rsidRDefault="004B6D12" w:rsidP="00762A9E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 xml:space="preserve">Elgin Franklin G4 Well Incident </w:t>
            </w:r>
            <w:r w:rsidR="00FA25B3" w:rsidRPr="0051318C">
              <w:rPr>
                <w:rFonts w:ascii="Arial" w:hAnsi="Arial" w:cs="Arial"/>
                <w:sz w:val="12"/>
              </w:rPr>
              <w:t xml:space="preserve">– The Importance of Well Integrity Management by Howden Specialty Risk Engineering </w:t>
            </w:r>
          </w:p>
          <w:p w14:paraId="2772BC84" w14:textId="32AF2BA4" w:rsidR="003377B5" w:rsidRPr="0051318C" w:rsidRDefault="003377B5" w:rsidP="00762A9E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>Elgin G4 Gas Leak Incident Total May 2012</w:t>
            </w:r>
          </w:p>
          <w:p w14:paraId="73190EB9" w14:textId="533EE046" w:rsidR="00940BD6" w:rsidRPr="0051318C" w:rsidRDefault="00940BD6" w:rsidP="00762A9E">
            <w:pPr>
              <w:pStyle w:val="TableParagraph"/>
              <w:numPr>
                <w:ilvl w:val="0"/>
                <w:numId w:val="9"/>
              </w:numPr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sz w:val="12"/>
              </w:rPr>
              <w:t xml:space="preserve">Well </w:t>
            </w:r>
            <w:r w:rsidR="000B419E" w:rsidRPr="0051318C">
              <w:rPr>
                <w:rFonts w:ascii="Arial" w:hAnsi="Arial" w:cs="Arial"/>
                <w:sz w:val="12"/>
              </w:rPr>
              <w:t>Schematic</w:t>
            </w:r>
          </w:p>
          <w:p w14:paraId="02D5F70A" w14:textId="77777777" w:rsidR="003965D5" w:rsidRPr="0051318C" w:rsidRDefault="003965D5" w:rsidP="00762A9E">
            <w:pPr>
              <w:pStyle w:val="TableParagraph"/>
              <w:tabs>
                <w:tab w:val="left" w:pos="126"/>
              </w:tabs>
              <w:ind w:left="846"/>
              <w:rPr>
                <w:rFonts w:ascii="Arial" w:hAnsi="Arial" w:cs="Arial"/>
                <w:sz w:val="12"/>
              </w:rPr>
            </w:pPr>
          </w:p>
          <w:p w14:paraId="63B16D1E" w14:textId="6DB86597" w:rsidR="008D60C3" w:rsidRPr="0051318C" w:rsidRDefault="003377B5" w:rsidP="00762A9E">
            <w:pPr>
              <w:pStyle w:val="TableParagraph"/>
              <w:tabs>
                <w:tab w:val="left" w:pos="126"/>
              </w:tabs>
              <w:ind w:left="846"/>
              <w:jc w:val="center"/>
              <w:rPr>
                <w:rFonts w:ascii="Arial" w:hAnsi="Arial" w:cs="Arial"/>
                <w:sz w:val="12"/>
              </w:rPr>
            </w:pPr>
            <w:r w:rsidRPr="0051318C">
              <w:rPr>
                <w:rFonts w:ascii="Arial" w:hAnsi="Arial" w:cs="Arial"/>
                <w:noProof/>
                <w:sz w:val="12"/>
              </w:rPr>
              <w:drawing>
                <wp:inline distT="0" distB="0" distL="0" distR="0" wp14:anchorId="19553C2D" wp14:editId="75F25BCB">
                  <wp:extent cx="2491651" cy="3516924"/>
                  <wp:effectExtent l="0" t="0" r="4445" b="762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019" cy="3527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2E425" w14:textId="77777777" w:rsidR="008D60C3" w:rsidRPr="0051318C" w:rsidRDefault="008D60C3" w:rsidP="00762A9E">
            <w:pPr>
              <w:pStyle w:val="TableParagraph"/>
              <w:tabs>
                <w:tab w:val="left" w:pos="126"/>
              </w:tabs>
              <w:rPr>
                <w:rFonts w:ascii="Arial" w:hAnsi="Arial" w:cs="Arial"/>
                <w:sz w:val="12"/>
              </w:rPr>
            </w:pPr>
          </w:p>
          <w:p w14:paraId="1054AC30" w14:textId="776881CA" w:rsidR="00CA680B" w:rsidRPr="00073183" w:rsidRDefault="003377B5" w:rsidP="00073183">
            <w:pPr>
              <w:pStyle w:val="TableParagraph"/>
              <w:tabs>
                <w:tab w:val="left" w:pos="126"/>
              </w:tabs>
              <w:jc w:val="center"/>
              <w:rPr>
                <w:rFonts w:ascii="Arial" w:hAnsi="Arial" w:cs="Arial"/>
                <w:i/>
                <w:iCs/>
                <w:sz w:val="12"/>
              </w:rPr>
            </w:pPr>
            <w:r w:rsidRPr="0051318C">
              <w:rPr>
                <w:rFonts w:ascii="Arial" w:hAnsi="Arial" w:cs="Arial"/>
                <w:i/>
                <w:iCs/>
                <w:sz w:val="12"/>
              </w:rPr>
              <w:t xml:space="preserve">                            </w:t>
            </w:r>
            <w:r w:rsidR="003A6B16" w:rsidRPr="0051318C">
              <w:rPr>
                <w:rFonts w:ascii="Arial" w:hAnsi="Arial" w:cs="Arial"/>
                <w:i/>
                <w:iCs/>
                <w:sz w:val="12"/>
              </w:rPr>
              <w:t xml:space="preserve">G4 – Well Schematic </w:t>
            </w:r>
            <w:r w:rsidRPr="0051318C">
              <w:rPr>
                <w:rFonts w:ascii="Arial" w:hAnsi="Arial" w:cs="Arial"/>
                <w:i/>
                <w:iCs/>
                <w:sz w:val="12"/>
              </w:rPr>
              <w:t>and Suspected L</w:t>
            </w:r>
            <w:r w:rsidR="003A6B16" w:rsidRPr="0051318C">
              <w:rPr>
                <w:rFonts w:ascii="Arial" w:hAnsi="Arial" w:cs="Arial"/>
                <w:i/>
                <w:iCs/>
                <w:sz w:val="12"/>
              </w:rPr>
              <w:t xml:space="preserve">eak </w:t>
            </w:r>
            <w:r w:rsidRPr="0051318C">
              <w:rPr>
                <w:rFonts w:ascii="Arial" w:hAnsi="Arial" w:cs="Arial"/>
                <w:i/>
                <w:iCs/>
                <w:sz w:val="12"/>
              </w:rPr>
              <w:t>P</w:t>
            </w:r>
            <w:r w:rsidR="003A6B16" w:rsidRPr="0051318C">
              <w:rPr>
                <w:rFonts w:ascii="Arial" w:hAnsi="Arial" w:cs="Arial"/>
                <w:i/>
                <w:iCs/>
                <w:sz w:val="12"/>
              </w:rPr>
              <w:t>ath</w:t>
            </w:r>
            <w:r w:rsidR="00423923" w:rsidRPr="0051318C">
              <w:rPr>
                <w:rFonts w:ascii="Arial" w:hAnsi="Arial" w:cs="Arial"/>
                <w:i/>
                <w:iCs/>
                <w:sz w:val="12"/>
              </w:rPr>
              <w:t xml:space="preserve"> (Total</w:t>
            </w:r>
            <w:r w:rsidR="00F10E9D" w:rsidRPr="0051318C">
              <w:rPr>
                <w:rFonts w:ascii="Arial" w:hAnsi="Arial" w:cs="Arial"/>
                <w:i/>
                <w:iCs/>
                <w:sz w:val="12"/>
              </w:rPr>
              <w:t xml:space="preserve"> Elgin Storyboard</w:t>
            </w:r>
            <w:r w:rsidR="00423923" w:rsidRPr="0051318C">
              <w:rPr>
                <w:rFonts w:ascii="Arial" w:hAnsi="Arial" w:cs="Arial"/>
                <w:i/>
                <w:iCs/>
                <w:sz w:val="12"/>
              </w:rPr>
              <w:t>)</w:t>
            </w:r>
          </w:p>
        </w:tc>
      </w:tr>
    </w:tbl>
    <w:p w14:paraId="35430D72" w14:textId="0E47D0C6" w:rsidR="00AD4A89" w:rsidRDefault="00AD4A89" w:rsidP="00073183"/>
    <w:sectPr w:rsidR="00AD4A89" w:rsidSect="00762A9E">
      <w:type w:val="continuous"/>
      <w:pgSz w:w="11910" w:h="16840"/>
      <w:pgMar w:top="1040" w:right="1020" w:bottom="280" w:left="900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1CDB" w14:textId="77777777" w:rsidR="002414DA" w:rsidRDefault="002414DA" w:rsidP="006B2059">
      <w:r>
        <w:separator/>
      </w:r>
    </w:p>
  </w:endnote>
  <w:endnote w:type="continuationSeparator" w:id="0">
    <w:p w14:paraId="465B90FF" w14:textId="77777777" w:rsidR="002414DA" w:rsidRDefault="002414DA" w:rsidP="006B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1A11" w14:textId="77777777" w:rsidR="002414DA" w:rsidRDefault="002414DA" w:rsidP="006B2059">
      <w:r>
        <w:separator/>
      </w:r>
    </w:p>
  </w:footnote>
  <w:footnote w:type="continuationSeparator" w:id="0">
    <w:p w14:paraId="529C0764" w14:textId="77777777" w:rsidR="002414DA" w:rsidRDefault="002414DA" w:rsidP="006B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A38E" w14:textId="001253F6" w:rsidR="006B2059" w:rsidRDefault="00CD6B8B" w:rsidP="00113353">
    <w:pPr>
      <w:pStyle w:val="NormalWeb"/>
      <w:jc w:val="right"/>
    </w:pPr>
    <w:r>
      <w:rPr>
        <w:noProof/>
      </w:rPr>
      <w:drawing>
        <wp:inline distT="0" distB="0" distL="0" distR="0" wp14:anchorId="5A2BC0D5" wp14:editId="52444FCC">
          <wp:extent cx="1105708" cy="608330"/>
          <wp:effectExtent l="0" t="0" r="0" b="1270"/>
          <wp:docPr id="1452641522" name="Picture 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65B3021-8FBC-FB99-8D69-AEE9911ED0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065B3021-8FBC-FB99-8D69-AEE9911ED0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731" cy="61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3353">
      <w:rPr>
        <w:noProof/>
      </w:rPr>
      <w:drawing>
        <wp:inline distT="0" distB="0" distL="0" distR="0" wp14:anchorId="6442BB59" wp14:editId="27D04605">
          <wp:extent cx="1409700" cy="590550"/>
          <wp:effectExtent l="0" t="0" r="0" b="0"/>
          <wp:docPr id="17359900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D85"/>
    <w:multiLevelType w:val="hybridMultilevel"/>
    <w:tmpl w:val="537885F6"/>
    <w:lvl w:ilvl="0" w:tplc="055C07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7B8E"/>
    <w:multiLevelType w:val="hybridMultilevel"/>
    <w:tmpl w:val="FA229992"/>
    <w:lvl w:ilvl="0" w:tplc="080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1B437F01"/>
    <w:multiLevelType w:val="hybridMultilevel"/>
    <w:tmpl w:val="187809B0"/>
    <w:lvl w:ilvl="0" w:tplc="F5AA3BF2">
      <w:start w:val="1"/>
      <w:numFmt w:val="decimal"/>
      <w:lvlText w:val="%1."/>
      <w:lvlJc w:val="left"/>
      <w:pPr>
        <w:ind w:left="12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2"/>
        <w:szCs w:val="12"/>
        <w:lang w:val="en-US" w:eastAsia="en-US" w:bidi="ar-SA"/>
      </w:rPr>
    </w:lvl>
    <w:lvl w:ilvl="1" w:tplc="1C2E98B4">
      <w:numFmt w:val="bullet"/>
      <w:lvlText w:val="•"/>
      <w:lvlJc w:val="left"/>
      <w:pPr>
        <w:ind w:left="1079" w:hanging="118"/>
      </w:pPr>
      <w:rPr>
        <w:rFonts w:hint="default"/>
        <w:lang w:val="en-US" w:eastAsia="en-US" w:bidi="ar-SA"/>
      </w:rPr>
    </w:lvl>
    <w:lvl w:ilvl="2" w:tplc="C5A4B992">
      <w:numFmt w:val="bullet"/>
      <w:lvlText w:val="•"/>
      <w:lvlJc w:val="left"/>
      <w:pPr>
        <w:ind w:left="2039" w:hanging="118"/>
      </w:pPr>
      <w:rPr>
        <w:rFonts w:hint="default"/>
        <w:lang w:val="en-US" w:eastAsia="en-US" w:bidi="ar-SA"/>
      </w:rPr>
    </w:lvl>
    <w:lvl w:ilvl="3" w:tplc="ACB2A204">
      <w:numFmt w:val="bullet"/>
      <w:lvlText w:val="•"/>
      <w:lvlJc w:val="left"/>
      <w:pPr>
        <w:ind w:left="2999" w:hanging="118"/>
      </w:pPr>
      <w:rPr>
        <w:rFonts w:hint="default"/>
        <w:lang w:val="en-US" w:eastAsia="en-US" w:bidi="ar-SA"/>
      </w:rPr>
    </w:lvl>
    <w:lvl w:ilvl="4" w:tplc="F81861D2">
      <w:numFmt w:val="bullet"/>
      <w:lvlText w:val="•"/>
      <w:lvlJc w:val="left"/>
      <w:pPr>
        <w:ind w:left="3958" w:hanging="118"/>
      </w:pPr>
      <w:rPr>
        <w:rFonts w:hint="default"/>
        <w:lang w:val="en-US" w:eastAsia="en-US" w:bidi="ar-SA"/>
      </w:rPr>
    </w:lvl>
    <w:lvl w:ilvl="5" w:tplc="1E68C696">
      <w:numFmt w:val="bullet"/>
      <w:lvlText w:val="•"/>
      <w:lvlJc w:val="left"/>
      <w:pPr>
        <w:ind w:left="4918" w:hanging="118"/>
      </w:pPr>
      <w:rPr>
        <w:rFonts w:hint="default"/>
        <w:lang w:val="en-US" w:eastAsia="en-US" w:bidi="ar-SA"/>
      </w:rPr>
    </w:lvl>
    <w:lvl w:ilvl="6" w:tplc="09D0EEA4">
      <w:numFmt w:val="bullet"/>
      <w:lvlText w:val="•"/>
      <w:lvlJc w:val="left"/>
      <w:pPr>
        <w:ind w:left="5878" w:hanging="118"/>
      </w:pPr>
      <w:rPr>
        <w:rFonts w:hint="default"/>
        <w:lang w:val="en-US" w:eastAsia="en-US" w:bidi="ar-SA"/>
      </w:rPr>
    </w:lvl>
    <w:lvl w:ilvl="7" w:tplc="9A80BE28">
      <w:numFmt w:val="bullet"/>
      <w:lvlText w:val="•"/>
      <w:lvlJc w:val="left"/>
      <w:pPr>
        <w:ind w:left="6837" w:hanging="118"/>
      </w:pPr>
      <w:rPr>
        <w:rFonts w:hint="default"/>
        <w:lang w:val="en-US" w:eastAsia="en-US" w:bidi="ar-SA"/>
      </w:rPr>
    </w:lvl>
    <w:lvl w:ilvl="8" w:tplc="8E1AE4BA">
      <w:numFmt w:val="bullet"/>
      <w:lvlText w:val="•"/>
      <w:lvlJc w:val="left"/>
      <w:pPr>
        <w:ind w:left="7797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1E1D033B"/>
    <w:multiLevelType w:val="hybridMultilevel"/>
    <w:tmpl w:val="6164A9EE"/>
    <w:lvl w:ilvl="0" w:tplc="055C073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9A3BFF"/>
    <w:multiLevelType w:val="hybridMultilevel"/>
    <w:tmpl w:val="B98CC1D4"/>
    <w:lvl w:ilvl="0" w:tplc="65F87B42">
      <w:numFmt w:val="bullet"/>
      <w:lvlText w:val="•"/>
      <w:lvlJc w:val="left"/>
      <w:pPr>
        <w:ind w:left="9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71C0E82">
      <w:numFmt w:val="bullet"/>
      <w:lvlText w:val="•"/>
      <w:lvlJc w:val="left"/>
      <w:pPr>
        <w:ind w:left="971" w:hanging="113"/>
      </w:pPr>
      <w:rPr>
        <w:rFonts w:hint="default"/>
        <w:lang w:val="en-US" w:eastAsia="en-US" w:bidi="ar-SA"/>
      </w:rPr>
    </w:lvl>
    <w:lvl w:ilvl="2" w:tplc="EB907470">
      <w:numFmt w:val="bullet"/>
      <w:lvlText w:val="•"/>
      <w:lvlJc w:val="left"/>
      <w:pPr>
        <w:ind w:left="1943" w:hanging="113"/>
      </w:pPr>
      <w:rPr>
        <w:rFonts w:hint="default"/>
        <w:lang w:val="en-US" w:eastAsia="en-US" w:bidi="ar-SA"/>
      </w:rPr>
    </w:lvl>
    <w:lvl w:ilvl="3" w:tplc="8CF2B54C">
      <w:numFmt w:val="bullet"/>
      <w:lvlText w:val="•"/>
      <w:lvlJc w:val="left"/>
      <w:pPr>
        <w:ind w:left="2915" w:hanging="113"/>
      </w:pPr>
      <w:rPr>
        <w:rFonts w:hint="default"/>
        <w:lang w:val="en-US" w:eastAsia="en-US" w:bidi="ar-SA"/>
      </w:rPr>
    </w:lvl>
    <w:lvl w:ilvl="4" w:tplc="9F609202">
      <w:numFmt w:val="bullet"/>
      <w:lvlText w:val="•"/>
      <w:lvlJc w:val="left"/>
      <w:pPr>
        <w:ind w:left="3886" w:hanging="113"/>
      </w:pPr>
      <w:rPr>
        <w:rFonts w:hint="default"/>
        <w:lang w:val="en-US" w:eastAsia="en-US" w:bidi="ar-SA"/>
      </w:rPr>
    </w:lvl>
    <w:lvl w:ilvl="5" w:tplc="BCBC08A8">
      <w:numFmt w:val="bullet"/>
      <w:lvlText w:val="•"/>
      <w:lvlJc w:val="left"/>
      <w:pPr>
        <w:ind w:left="4858" w:hanging="113"/>
      </w:pPr>
      <w:rPr>
        <w:rFonts w:hint="default"/>
        <w:lang w:val="en-US" w:eastAsia="en-US" w:bidi="ar-SA"/>
      </w:rPr>
    </w:lvl>
    <w:lvl w:ilvl="6" w:tplc="73BA0E98">
      <w:numFmt w:val="bullet"/>
      <w:lvlText w:val="•"/>
      <w:lvlJc w:val="left"/>
      <w:pPr>
        <w:ind w:left="5830" w:hanging="113"/>
      </w:pPr>
      <w:rPr>
        <w:rFonts w:hint="default"/>
        <w:lang w:val="en-US" w:eastAsia="en-US" w:bidi="ar-SA"/>
      </w:rPr>
    </w:lvl>
    <w:lvl w:ilvl="7" w:tplc="4A6A1868">
      <w:numFmt w:val="bullet"/>
      <w:lvlText w:val="•"/>
      <w:lvlJc w:val="left"/>
      <w:pPr>
        <w:ind w:left="6801" w:hanging="113"/>
      </w:pPr>
      <w:rPr>
        <w:rFonts w:hint="default"/>
        <w:lang w:val="en-US" w:eastAsia="en-US" w:bidi="ar-SA"/>
      </w:rPr>
    </w:lvl>
    <w:lvl w:ilvl="8" w:tplc="A8368D4A">
      <w:numFmt w:val="bullet"/>
      <w:lvlText w:val="•"/>
      <w:lvlJc w:val="left"/>
      <w:pPr>
        <w:ind w:left="7773" w:hanging="113"/>
      </w:pPr>
      <w:rPr>
        <w:rFonts w:hint="default"/>
        <w:lang w:val="en-US" w:eastAsia="en-US" w:bidi="ar-SA"/>
      </w:rPr>
    </w:lvl>
  </w:abstractNum>
  <w:abstractNum w:abstractNumId="5" w15:restartNumberingAfterBreak="0">
    <w:nsid w:val="4FB3524B"/>
    <w:multiLevelType w:val="hybridMultilevel"/>
    <w:tmpl w:val="4C585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96003"/>
    <w:multiLevelType w:val="hybridMultilevel"/>
    <w:tmpl w:val="46C682D4"/>
    <w:lvl w:ilvl="0" w:tplc="85E4082C">
      <w:numFmt w:val="bullet"/>
      <w:lvlText w:val="•"/>
      <w:lvlJc w:val="left"/>
      <w:pPr>
        <w:ind w:left="9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17067B6">
      <w:numFmt w:val="bullet"/>
      <w:lvlText w:val="•"/>
      <w:lvlJc w:val="left"/>
      <w:pPr>
        <w:ind w:left="971" w:hanging="113"/>
      </w:pPr>
      <w:rPr>
        <w:rFonts w:hint="default"/>
        <w:lang w:val="en-US" w:eastAsia="en-US" w:bidi="ar-SA"/>
      </w:rPr>
    </w:lvl>
    <w:lvl w:ilvl="2" w:tplc="46B62B1C">
      <w:numFmt w:val="bullet"/>
      <w:lvlText w:val="•"/>
      <w:lvlJc w:val="left"/>
      <w:pPr>
        <w:ind w:left="1943" w:hanging="113"/>
      </w:pPr>
      <w:rPr>
        <w:rFonts w:hint="default"/>
        <w:lang w:val="en-US" w:eastAsia="en-US" w:bidi="ar-SA"/>
      </w:rPr>
    </w:lvl>
    <w:lvl w:ilvl="3" w:tplc="19180312">
      <w:numFmt w:val="bullet"/>
      <w:lvlText w:val="•"/>
      <w:lvlJc w:val="left"/>
      <w:pPr>
        <w:ind w:left="2915" w:hanging="113"/>
      </w:pPr>
      <w:rPr>
        <w:rFonts w:hint="default"/>
        <w:lang w:val="en-US" w:eastAsia="en-US" w:bidi="ar-SA"/>
      </w:rPr>
    </w:lvl>
    <w:lvl w:ilvl="4" w:tplc="2DD26002">
      <w:numFmt w:val="bullet"/>
      <w:lvlText w:val="•"/>
      <w:lvlJc w:val="left"/>
      <w:pPr>
        <w:ind w:left="3886" w:hanging="113"/>
      </w:pPr>
      <w:rPr>
        <w:rFonts w:hint="default"/>
        <w:lang w:val="en-US" w:eastAsia="en-US" w:bidi="ar-SA"/>
      </w:rPr>
    </w:lvl>
    <w:lvl w:ilvl="5" w:tplc="BEC40990">
      <w:numFmt w:val="bullet"/>
      <w:lvlText w:val="•"/>
      <w:lvlJc w:val="left"/>
      <w:pPr>
        <w:ind w:left="4858" w:hanging="113"/>
      </w:pPr>
      <w:rPr>
        <w:rFonts w:hint="default"/>
        <w:lang w:val="en-US" w:eastAsia="en-US" w:bidi="ar-SA"/>
      </w:rPr>
    </w:lvl>
    <w:lvl w:ilvl="6" w:tplc="1898E03A">
      <w:numFmt w:val="bullet"/>
      <w:lvlText w:val="•"/>
      <w:lvlJc w:val="left"/>
      <w:pPr>
        <w:ind w:left="5830" w:hanging="113"/>
      </w:pPr>
      <w:rPr>
        <w:rFonts w:hint="default"/>
        <w:lang w:val="en-US" w:eastAsia="en-US" w:bidi="ar-SA"/>
      </w:rPr>
    </w:lvl>
    <w:lvl w:ilvl="7" w:tplc="D55483D0">
      <w:numFmt w:val="bullet"/>
      <w:lvlText w:val="•"/>
      <w:lvlJc w:val="left"/>
      <w:pPr>
        <w:ind w:left="6801" w:hanging="113"/>
      </w:pPr>
      <w:rPr>
        <w:rFonts w:hint="default"/>
        <w:lang w:val="en-US" w:eastAsia="en-US" w:bidi="ar-SA"/>
      </w:rPr>
    </w:lvl>
    <w:lvl w:ilvl="8" w:tplc="68EC9018">
      <w:numFmt w:val="bullet"/>
      <w:lvlText w:val="•"/>
      <w:lvlJc w:val="left"/>
      <w:pPr>
        <w:ind w:left="7773" w:hanging="113"/>
      </w:pPr>
      <w:rPr>
        <w:rFonts w:hint="default"/>
        <w:lang w:val="en-US" w:eastAsia="en-US" w:bidi="ar-SA"/>
      </w:rPr>
    </w:lvl>
  </w:abstractNum>
  <w:abstractNum w:abstractNumId="7" w15:restartNumberingAfterBreak="0">
    <w:nsid w:val="531A41EE"/>
    <w:multiLevelType w:val="hybridMultilevel"/>
    <w:tmpl w:val="F6FE095E"/>
    <w:lvl w:ilvl="0" w:tplc="0A86284A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53C03B30"/>
    <w:multiLevelType w:val="hybridMultilevel"/>
    <w:tmpl w:val="B4106B78"/>
    <w:lvl w:ilvl="0" w:tplc="389AD90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9" w15:restartNumberingAfterBreak="0">
    <w:nsid w:val="64F31AE2"/>
    <w:multiLevelType w:val="hybridMultilevel"/>
    <w:tmpl w:val="EE5C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D3A52"/>
    <w:multiLevelType w:val="hybridMultilevel"/>
    <w:tmpl w:val="500C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8678">
    <w:abstractNumId w:val="2"/>
  </w:num>
  <w:num w:numId="2" w16cid:durableId="1291089317">
    <w:abstractNumId w:val="6"/>
  </w:num>
  <w:num w:numId="3" w16cid:durableId="211770038">
    <w:abstractNumId w:val="4"/>
  </w:num>
  <w:num w:numId="4" w16cid:durableId="727189122">
    <w:abstractNumId w:val="9"/>
  </w:num>
  <w:num w:numId="5" w16cid:durableId="1565482557">
    <w:abstractNumId w:val="8"/>
  </w:num>
  <w:num w:numId="6" w16cid:durableId="196819217">
    <w:abstractNumId w:val="7"/>
  </w:num>
  <w:num w:numId="7" w16cid:durableId="1553611603">
    <w:abstractNumId w:val="5"/>
  </w:num>
  <w:num w:numId="8" w16cid:durableId="2026706264">
    <w:abstractNumId w:val="0"/>
  </w:num>
  <w:num w:numId="9" w16cid:durableId="1155756239">
    <w:abstractNumId w:val="1"/>
  </w:num>
  <w:num w:numId="10" w16cid:durableId="978220066">
    <w:abstractNumId w:val="3"/>
  </w:num>
  <w:num w:numId="11" w16cid:durableId="140969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2"/>
    <w:rsid w:val="00004F3E"/>
    <w:rsid w:val="00007882"/>
    <w:rsid w:val="00012F35"/>
    <w:rsid w:val="000172D7"/>
    <w:rsid w:val="00022E7E"/>
    <w:rsid w:val="00022FD0"/>
    <w:rsid w:val="00026CF7"/>
    <w:rsid w:val="00035AC0"/>
    <w:rsid w:val="00035DEB"/>
    <w:rsid w:val="00043996"/>
    <w:rsid w:val="000651E3"/>
    <w:rsid w:val="00065C00"/>
    <w:rsid w:val="00072CCA"/>
    <w:rsid w:val="00073183"/>
    <w:rsid w:val="000758DB"/>
    <w:rsid w:val="00083A11"/>
    <w:rsid w:val="00084940"/>
    <w:rsid w:val="00091BA9"/>
    <w:rsid w:val="000A115E"/>
    <w:rsid w:val="000A622A"/>
    <w:rsid w:val="000A7528"/>
    <w:rsid w:val="000B376D"/>
    <w:rsid w:val="000B419E"/>
    <w:rsid w:val="000C0238"/>
    <w:rsid w:val="000C0FF3"/>
    <w:rsid w:val="000C5FB4"/>
    <w:rsid w:val="000D631B"/>
    <w:rsid w:val="000E212C"/>
    <w:rsid w:val="000E568A"/>
    <w:rsid w:val="000F4EE7"/>
    <w:rsid w:val="001024A0"/>
    <w:rsid w:val="00106FDC"/>
    <w:rsid w:val="00113353"/>
    <w:rsid w:val="0013249F"/>
    <w:rsid w:val="00135BD8"/>
    <w:rsid w:val="0013640F"/>
    <w:rsid w:val="00136AEE"/>
    <w:rsid w:val="00141011"/>
    <w:rsid w:val="0014420D"/>
    <w:rsid w:val="00146D2F"/>
    <w:rsid w:val="00155AA8"/>
    <w:rsid w:val="001565FC"/>
    <w:rsid w:val="0016114F"/>
    <w:rsid w:val="00161BE6"/>
    <w:rsid w:val="00163662"/>
    <w:rsid w:val="001638AD"/>
    <w:rsid w:val="001651BA"/>
    <w:rsid w:val="00167344"/>
    <w:rsid w:val="00182C0E"/>
    <w:rsid w:val="00184CF6"/>
    <w:rsid w:val="00184F53"/>
    <w:rsid w:val="00185F15"/>
    <w:rsid w:val="0019331B"/>
    <w:rsid w:val="00194C5A"/>
    <w:rsid w:val="00195191"/>
    <w:rsid w:val="001A1365"/>
    <w:rsid w:val="001A197A"/>
    <w:rsid w:val="001B2978"/>
    <w:rsid w:val="001B6DD3"/>
    <w:rsid w:val="001B7EF5"/>
    <w:rsid w:val="001C3620"/>
    <w:rsid w:val="001D6A21"/>
    <w:rsid w:val="001E2670"/>
    <w:rsid w:val="001F07AA"/>
    <w:rsid w:val="001F11FC"/>
    <w:rsid w:val="00207C08"/>
    <w:rsid w:val="00207C9F"/>
    <w:rsid w:val="002103DA"/>
    <w:rsid w:val="002147E4"/>
    <w:rsid w:val="002206F3"/>
    <w:rsid w:val="00224FD1"/>
    <w:rsid w:val="002274AF"/>
    <w:rsid w:val="002303A8"/>
    <w:rsid w:val="00233A9C"/>
    <w:rsid w:val="002414DA"/>
    <w:rsid w:val="00242FA1"/>
    <w:rsid w:val="002437B7"/>
    <w:rsid w:val="0024402B"/>
    <w:rsid w:val="0024445B"/>
    <w:rsid w:val="00245E86"/>
    <w:rsid w:val="00250C5B"/>
    <w:rsid w:val="00253947"/>
    <w:rsid w:val="00255B92"/>
    <w:rsid w:val="00261E7F"/>
    <w:rsid w:val="00265E8B"/>
    <w:rsid w:val="00267039"/>
    <w:rsid w:val="002705EB"/>
    <w:rsid w:val="0027085A"/>
    <w:rsid w:val="00270F0A"/>
    <w:rsid w:val="00274E1D"/>
    <w:rsid w:val="002757C3"/>
    <w:rsid w:val="00283E47"/>
    <w:rsid w:val="00291C00"/>
    <w:rsid w:val="00292A54"/>
    <w:rsid w:val="002936C4"/>
    <w:rsid w:val="00293C69"/>
    <w:rsid w:val="00297585"/>
    <w:rsid w:val="002B283B"/>
    <w:rsid w:val="002B51AA"/>
    <w:rsid w:val="002B7F44"/>
    <w:rsid w:val="002C305C"/>
    <w:rsid w:val="002E03DA"/>
    <w:rsid w:val="002E385D"/>
    <w:rsid w:val="002F26A9"/>
    <w:rsid w:val="002F3FD9"/>
    <w:rsid w:val="002F4731"/>
    <w:rsid w:val="00301C1E"/>
    <w:rsid w:val="0031552C"/>
    <w:rsid w:val="0031563F"/>
    <w:rsid w:val="003168E5"/>
    <w:rsid w:val="00326319"/>
    <w:rsid w:val="00334BE5"/>
    <w:rsid w:val="00335D90"/>
    <w:rsid w:val="003377B5"/>
    <w:rsid w:val="00341028"/>
    <w:rsid w:val="003428A2"/>
    <w:rsid w:val="00345DAB"/>
    <w:rsid w:val="003514E9"/>
    <w:rsid w:val="00351901"/>
    <w:rsid w:val="00357949"/>
    <w:rsid w:val="003604D0"/>
    <w:rsid w:val="003649FE"/>
    <w:rsid w:val="0037128A"/>
    <w:rsid w:val="003837A5"/>
    <w:rsid w:val="0039125D"/>
    <w:rsid w:val="003965D5"/>
    <w:rsid w:val="003A4CB3"/>
    <w:rsid w:val="003A6B16"/>
    <w:rsid w:val="003B2553"/>
    <w:rsid w:val="003C6924"/>
    <w:rsid w:val="003D0F1E"/>
    <w:rsid w:val="003D28BF"/>
    <w:rsid w:val="003D6521"/>
    <w:rsid w:val="003E3797"/>
    <w:rsid w:val="003F195C"/>
    <w:rsid w:val="003F442A"/>
    <w:rsid w:val="003F6482"/>
    <w:rsid w:val="00401519"/>
    <w:rsid w:val="00403BB6"/>
    <w:rsid w:val="004049C1"/>
    <w:rsid w:val="004054C8"/>
    <w:rsid w:val="004057D4"/>
    <w:rsid w:val="00405F72"/>
    <w:rsid w:val="00413D6A"/>
    <w:rsid w:val="00423923"/>
    <w:rsid w:val="004243B9"/>
    <w:rsid w:val="0042776F"/>
    <w:rsid w:val="00427A70"/>
    <w:rsid w:val="00451B10"/>
    <w:rsid w:val="00452700"/>
    <w:rsid w:val="00454672"/>
    <w:rsid w:val="004600B3"/>
    <w:rsid w:val="004631CE"/>
    <w:rsid w:val="00465BF2"/>
    <w:rsid w:val="004712A7"/>
    <w:rsid w:val="004817AC"/>
    <w:rsid w:val="00482C7E"/>
    <w:rsid w:val="004959BA"/>
    <w:rsid w:val="004B2CD6"/>
    <w:rsid w:val="004B3EB0"/>
    <w:rsid w:val="004B6D12"/>
    <w:rsid w:val="004C205F"/>
    <w:rsid w:val="004C3807"/>
    <w:rsid w:val="004D567F"/>
    <w:rsid w:val="004D5C3A"/>
    <w:rsid w:val="004D6F10"/>
    <w:rsid w:val="004E0372"/>
    <w:rsid w:val="004E052A"/>
    <w:rsid w:val="004E2AD8"/>
    <w:rsid w:val="004E4C53"/>
    <w:rsid w:val="004F10EC"/>
    <w:rsid w:val="004F1FB5"/>
    <w:rsid w:val="004F6D2E"/>
    <w:rsid w:val="004F7F8D"/>
    <w:rsid w:val="00500DF2"/>
    <w:rsid w:val="00504D36"/>
    <w:rsid w:val="00510C3B"/>
    <w:rsid w:val="005121F3"/>
    <w:rsid w:val="0051318C"/>
    <w:rsid w:val="00515067"/>
    <w:rsid w:val="005155CB"/>
    <w:rsid w:val="005172DF"/>
    <w:rsid w:val="00526E1A"/>
    <w:rsid w:val="00527D37"/>
    <w:rsid w:val="00532A42"/>
    <w:rsid w:val="00532F38"/>
    <w:rsid w:val="0053485F"/>
    <w:rsid w:val="00550C86"/>
    <w:rsid w:val="0056263C"/>
    <w:rsid w:val="00566AA1"/>
    <w:rsid w:val="00576EDD"/>
    <w:rsid w:val="00577596"/>
    <w:rsid w:val="00577F0B"/>
    <w:rsid w:val="00581F0B"/>
    <w:rsid w:val="005825EA"/>
    <w:rsid w:val="005838F0"/>
    <w:rsid w:val="0059235A"/>
    <w:rsid w:val="00592736"/>
    <w:rsid w:val="005B65F0"/>
    <w:rsid w:val="005C7337"/>
    <w:rsid w:val="005D30FB"/>
    <w:rsid w:val="005D329D"/>
    <w:rsid w:val="005D345D"/>
    <w:rsid w:val="005E3EC5"/>
    <w:rsid w:val="005E6695"/>
    <w:rsid w:val="005F6814"/>
    <w:rsid w:val="00603A04"/>
    <w:rsid w:val="006069E6"/>
    <w:rsid w:val="00607053"/>
    <w:rsid w:val="00607112"/>
    <w:rsid w:val="00612636"/>
    <w:rsid w:val="00613260"/>
    <w:rsid w:val="00632E29"/>
    <w:rsid w:val="00637349"/>
    <w:rsid w:val="00637604"/>
    <w:rsid w:val="00642675"/>
    <w:rsid w:val="00646DB2"/>
    <w:rsid w:val="00647F8D"/>
    <w:rsid w:val="0065220A"/>
    <w:rsid w:val="00653074"/>
    <w:rsid w:val="00655549"/>
    <w:rsid w:val="006563FF"/>
    <w:rsid w:val="006614C9"/>
    <w:rsid w:val="006614E1"/>
    <w:rsid w:val="00663D32"/>
    <w:rsid w:val="0066628B"/>
    <w:rsid w:val="006712AC"/>
    <w:rsid w:val="00676EF7"/>
    <w:rsid w:val="00682C7D"/>
    <w:rsid w:val="00684141"/>
    <w:rsid w:val="00686C88"/>
    <w:rsid w:val="00690287"/>
    <w:rsid w:val="00693D82"/>
    <w:rsid w:val="00697F8B"/>
    <w:rsid w:val="006A4E64"/>
    <w:rsid w:val="006B1F7F"/>
    <w:rsid w:val="006B2059"/>
    <w:rsid w:val="006D0AFF"/>
    <w:rsid w:val="006D7DF6"/>
    <w:rsid w:val="006F0C00"/>
    <w:rsid w:val="006F1F81"/>
    <w:rsid w:val="006F22E6"/>
    <w:rsid w:val="006F3C26"/>
    <w:rsid w:val="006F485F"/>
    <w:rsid w:val="0070414A"/>
    <w:rsid w:val="007120F5"/>
    <w:rsid w:val="0071374F"/>
    <w:rsid w:val="007202B7"/>
    <w:rsid w:val="00730665"/>
    <w:rsid w:val="00734E62"/>
    <w:rsid w:val="00742617"/>
    <w:rsid w:val="00742947"/>
    <w:rsid w:val="00743573"/>
    <w:rsid w:val="00750F10"/>
    <w:rsid w:val="00762A9E"/>
    <w:rsid w:val="00785285"/>
    <w:rsid w:val="00785663"/>
    <w:rsid w:val="00792A06"/>
    <w:rsid w:val="007B01F5"/>
    <w:rsid w:val="007C7E94"/>
    <w:rsid w:val="007D39DC"/>
    <w:rsid w:val="007D7D5B"/>
    <w:rsid w:val="007E4FC4"/>
    <w:rsid w:val="007F09F1"/>
    <w:rsid w:val="0080265B"/>
    <w:rsid w:val="008121B8"/>
    <w:rsid w:val="0081242D"/>
    <w:rsid w:val="008126E8"/>
    <w:rsid w:val="00814F20"/>
    <w:rsid w:val="00823D34"/>
    <w:rsid w:val="00830CC3"/>
    <w:rsid w:val="00840861"/>
    <w:rsid w:val="00842319"/>
    <w:rsid w:val="0084573D"/>
    <w:rsid w:val="00850090"/>
    <w:rsid w:val="0085273B"/>
    <w:rsid w:val="0086118D"/>
    <w:rsid w:val="0086297B"/>
    <w:rsid w:val="0087287A"/>
    <w:rsid w:val="008758B7"/>
    <w:rsid w:val="00880DB6"/>
    <w:rsid w:val="00882D38"/>
    <w:rsid w:val="008B40F1"/>
    <w:rsid w:val="008B464B"/>
    <w:rsid w:val="008B4C27"/>
    <w:rsid w:val="008B73D5"/>
    <w:rsid w:val="008C169A"/>
    <w:rsid w:val="008C4778"/>
    <w:rsid w:val="008D230D"/>
    <w:rsid w:val="008D3995"/>
    <w:rsid w:val="008D59EB"/>
    <w:rsid w:val="008D60C3"/>
    <w:rsid w:val="008D7DEC"/>
    <w:rsid w:val="008E00FA"/>
    <w:rsid w:val="008E53A3"/>
    <w:rsid w:val="008F6838"/>
    <w:rsid w:val="009105FA"/>
    <w:rsid w:val="0091565B"/>
    <w:rsid w:val="00931C5E"/>
    <w:rsid w:val="00940BD6"/>
    <w:rsid w:val="009454B4"/>
    <w:rsid w:val="00953383"/>
    <w:rsid w:val="009552C3"/>
    <w:rsid w:val="0096086A"/>
    <w:rsid w:val="009643F5"/>
    <w:rsid w:val="00967FD8"/>
    <w:rsid w:val="00986C51"/>
    <w:rsid w:val="00987320"/>
    <w:rsid w:val="00994687"/>
    <w:rsid w:val="0099749E"/>
    <w:rsid w:val="009A0B0E"/>
    <w:rsid w:val="009A5F94"/>
    <w:rsid w:val="009A6409"/>
    <w:rsid w:val="009A71AE"/>
    <w:rsid w:val="009B11E4"/>
    <w:rsid w:val="009B4A41"/>
    <w:rsid w:val="009B590D"/>
    <w:rsid w:val="009C72AF"/>
    <w:rsid w:val="009D02AA"/>
    <w:rsid w:val="009D0A71"/>
    <w:rsid w:val="009D51D8"/>
    <w:rsid w:val="009E117A"/>
    <w:rsid w:val="009E2584"/>
    <w:rsid w:val="009E3717"/>
    <w:rsid w:val="009E517C"/>
    <w:rsid w:val="009E5940"/>
    <w:rsid w:val="009F014E"/>
    <w:rsid w:val="009F388E"/>
    <w:rsid w:val="00A049DE"/>
    <w:rsid w:val="00A1216F"/>
    <w:rsid w:val="00A21FAA"/>
    <w:rsid w:val="00A225A8"/>
    <w:rsid w:val="00A23FD8"/>
    <w:rsid w:val="00A26F77"/>
    <w:rsid w:val="00A35DFC"/>
    <w:rsid w:val="00A44D3A"/>
    <w:rsid w:val="00A53998"/>
    <w:rsid w:val="00A609C4"/>
    <w:rsid w:val="00A72C53"/>
    <w:rsid w:val="00A76173"/>
    <w:rsid w:val="00A87351"/>
    <w:rsid w:val="00A93637"/>
    <w:rsid w:val="00A95C36"/>
    <w:rsid w:val="00AA08D6"/>
    <w:rsid w:val="00AA59E0"/>
    <w:rsid w:val="00AB1E4E"/>
    <w:rsid w:val="00AB26E1"/>
    <w:rsid w:val="00AC0E04"/>
    <w:rsid w:val="00AC633D"/>
    <w:rsid w:val="00AD4A89"/>
    <w:rsid w:val="00AE0B47"/>
    <w:rsid w:val="00AE1310"/>
    <w:rsid w:val="00AE22AF"/>
    <w:rsid w:val="00AE4877"/>
    <w:rsid w:val="00AE6CC5"/>
    <w:rsid w:val="00AF2662"/>
    <w:rsid w:val="00AF42F7"/>
    <w:rsid w:val="00B04250"/>
    <w:rsid w:val="00B056D9"/>
    <w:rsid w:val="00B11F19"/>
    <w:rsid w:val="00B1518F"/>
    <w:rsid w:val="00B209AE"/>
    <w:rsid w:val="00B356A5"/>
    <w:rsid w:val="00B41103"/>
    <w:rsid w:val="00B44008"/>
    <w:rsid w:val="00B44630"/>
    <w:rsid w:val="00B50F2B"/>
    <w:rsid w:val="00B52A00"/>
    <w:rsid w:val="00B61992"/>
    <w:rsid w:val="00B712B6"/>
    <w:rsid w:val="00B7137D"/>
    <w:rsid w:val="00B75C07"/>
    <w:rsid w:val="00B95ACF"/>
    <w:rsid w:val="00B970C1"/>
    <w:rsid w:val="00BA1A05"/>
    <w:rsid w:val="00BA3B6B"/>
    <w:rsid w:val="00BA3D7E"/>
    <w:rsid w:val="00BA44F3"/>
    <w:rsid w:val="00BA555C"/>
    <w:rsid w:val="00BB33E5"/>
    <w:rsid w:val="00BB6E67"/>
    <w:rsid w:val="00BB7381"/>
    <w:rsid w:val="00BB74F2"/>
    <w:rsid w:val="00BD1534"/>
    <w:rsid w:val="00BF1858"/>
    <w:rsid w:val="00C034D1"/>
    <w:rsid w:val="00C057F3"/>
    <w:rsid w:val="00C13972"/>
    <w:rsid w:val="00C17DAD"/>
    <w:rsid w:val="00C2158F"/>
    <w:rsid w:val="00C25A9F"/>
    <w:rsid w:val="00C4775C"/>
    <w:rsid w:val="00C547B2"/>
    <w:rsid w:val="00C60218"/>
    <w:rsid w:val="00C65247"/>
    <w:rsid w:val="00C729B8"/>
    <w:rsid w:val="00C72A1B"/>
    <w:rsid w:val="00C846A6"/>
    <w:rsid w:val="00C85B11"/>
    <w:rsid w:val="00CA030A"/>
    <w:rsid w:val="00CA3EFE"/>
    <w:rsid w:val="00CA680B"/>
    <w:rsid w:val="00CB75B2"/>
    <w:rsid w:val="00CC68F4"/>
    <w:rsid w:val="00CD16FE"/>
    <w:rsid w:val="00CD1F38"/>
    <w:rsid w:val="00CD364F"/>
    <w:rsid w:val="00CD6B8B"/>
    <w:rsid w:val="00CD6EA2"/>
    <w:rsid w:val="00CE05CD"/>
    <w:rsid w:val="00CE1C47"/>
    <w:rsid w:val="00CE73A6"/>
    <w:rsid w:val="00CF52D4"/>
    <w:rsid w:val="00CF574C"/>
    <w:rsid w:val="00D01006"/>
    <w:rsid w:val="00D021CA"/>
    <w:rsid w:val="00D1201A"/>
    <w:rsid w:val="00D14157"/>
    <w:rsid w:val="00D20561"/>
    <w:rsid w:val="00D21087"/>
    <w:rsid w:val="00D30B79"/>
    <w:rsid w:val="00D312C9"/>
    <w:rsid w:val="00D50419"/>
    <w:rsid w:val="00D50DF0"/>
    <w:rsid w:val="00D54DD8"/>
    <w:rsid w:val="00D55C87"/>
    <w:rsid w:val="00D567F4"/>
    <w:rsid w:val="00D639AF"/>
    <w:rsid w:val="00D6721D"/>
    <w:rsid w:val="00D70797"/>
    <w:rsid w:val="00D72936"/>
    <w:rsid w:val="00D84389"/>
    <w:rsid w:val="00D9165E"/>
    <w:rsid w:val="00D92056"/>
    <w:rsid w:val="00D9274C"/>
    <w:rsid w:val="00DA0817"/>
    <w:rsid w:val="00DA0C1A"/>
    <w:rsid w:val="00DB1B81"/>
    <w:rsid w:val="00DB2C7B"/>
    <w:rsid w:val="00DB47D3"/>
    <w:rsid w:val="00DC0BAC"/>
    <w:rsid w:val="00DC5CC7"/>
    <w:rsid w:val="00DD1A17"/>
    <w:rsid w:val="00DE04A8"/>
    <w:rsid w:val="00DF3715"/>
    <w:rsid w:val="00DF397A"/>
    <w:rsid w:val="00DF41BA"/>
    <w:rsid w:val="00E00588"/>
    <w:rsid w:val="00E1076E"/>
    <w:rsid w:val="00E1114D"/>
    <w:rsid w:val="00E125FC"/>
    <w:rsid w:val="00E13923"/>
    <w:rsid w:val="00E25466"/>
    <w:rsid w:val="00E3187B"/>
    <w:rsid w:val="00E320E8"/>
    <w:rsid w:val="00E36F33"/>
    <w:rsid w:val="00E46902"/>
    <w:rsid w:val="00E65490"/>
    <w:rsid w:val="00E725D5"/>
    <w:rsid w:val="00E752DD"/>
    <w:rsid w:val="00E819C4"/>
    <w:rsid w:val="00E9319A"/>
    <w:rsid w:val="00E95ACD"/>
    <w:rsid w:val="00EA044C"/>
    <w:rsid w:val="00EA5A2A"/>
    <w:rsid w:val="00EA6906"/>
    <w:rsid w:val="00EB0980"/>
    <w:rsid w:val="00EC239B"/>
    <w:rsid w:val="00ED7355"/>
    <w:rsid w:val="00EE125A"/>
    <w:rsid w:val="00EE2C90"/>
    <w:rsid w:val="00EF22C1"/>
    <w:rsid w:val="00EF7034"/>
    <w:rsid w:val="00EF7C8A"/>
    <w:rsid w:val="00F02A27"/>
    <w:rsid w:val="00F04673"/>
    <w:rsid w:val="00F10E9D"/>
    <w:rsid w:val="00F16E8F"/>
    <w:rsid w:val="00F25051"/>
    <w:rsid w:val="00F2688E"/>
    <w:rsid w:val="00F35899"/>
    <w:rsid w:val="00F417B8"/>
    <w:rsid w:val="00F54A30"/>
    <w:rsid w:val="00F56709"/>
    <w:rsid w:val="00F604BE"/>
    <w:rsid w:val="00F73709"/>
    <w:rsid w:val="00F76A9A"/>
    <w:rsid w:val="00F76BC0"/>
    <w:rsid w:val="00F80F16"/>
    <w:rsid w:val="00F864E9"/>
    <w:rsid w:val="00F96CCC"/>
    <w:rsid w:val="00F97878"/>
    <w:rsid w:val="00FA1873"/>
    <w:rsid w:val="00FA25B3"/>
    <w:rsid w:val="00FA4974"/>
    <w:rsid w:val="00FA551C"/>
    <w:rsid w:val="00FB1864"/>
    <w:rsid w:val="00FB3467"/>
    <w:rsid w:val="00FB452D"/>
    <w:rsid w:val="00FD2DE8"/>
    <w:rsid w:val="00FD4129"/>
    <w:rsid w:val="00FD4983"/>
    <w:rsid w:val="00FE0E05"/>
    <w:rsid w:val="00FE6698"/>
    <w:rsid w:val="00FE7560"/>
    <w:rsid w:val="00FF2D27"/>
    <w:rsid w:val="00FF6CED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AB7B"/>
  <w15:docId w15:val="{C91AC77D-73FC-44EE-809B-1487F3C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758D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59"/>
  </w:style>
  <w:style w:type="paragraph" w:styleId="Footer">
    <w:name w:val="footer"/>
    <w:basedOn w:val="Normal"/>
    <w:link w:val="FooterChar"/>
    <w:uiPriority w:val="99"/>
    <w:unhideWhenUsed/>
    <w:rsid w:val="006B2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59"/>
  </w:style>
  <w:style w:type="paragraph" w:styleId="NormalWeb">
    <w:name w:val="Normal (Web)"/>
    <w:basedOn w:val="Normal"/>
    <w:uiPriority w:val="99"/>
    <w:unhideWhenUsed/>
    <w:rsid w:val="001133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LMA_Lessons Learned_Final.xlsx</vt:lpstr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LMA_Lessons Learned_Final.xlsx</dc:title>
  <dc:creator>gnanendrana</dc:creator>
  <cp:lastModifiedBy>Dele Fajimolu</cp:lastModifiedBy>
  <cp:revision>9</cp:revision>
  <cp:lastPrinted>2026-02-11T15:06:00Z</cp:lastPrinted>
  <dcterms:created xsi:type="dcterms:W3CDTF">2026-02-23T15:54:00Z</dcterms:created>
  <dcterms:modified xsi:type="dcterms:W3CDTF">2026-02-23T16:07:00Z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Microsoft: Print To PDF</vt:lpwstr>
  </property>
  <property fmtid="{D5CDD505-2E9C-101B-9397-08002B2CF9AE}" pid="5" name="MSIP_Label_36b19c09-48dc-483e-8a5f-9e92f1cd9848_Enabled">
    <vt:lpwstr>true</vt:lpwstr>
  </property>
  <property fmtid="{D5CDD505-2E9C-101B-9397-08002B2CF9AE}" pid="6" name="MSIP_Label_36b19c09-48dc-483e-8a5f-9e92f1cd9848_SetDate">
    <vt:lpwstr>2024-12-11T11:12:49Z</vt:lpwstr>
  </property>
  <property fmtid="{D5CDD505-2E9C-101B-9397-08002B2CF9AE}" pid="7" name="MSIP_Label_36b19c09-48dc-483e-8a5f-9e92f1cd9848_Method">
    <vt:lpwstr>Privileged</vt:lpwstr>
  </property>
  <property fmtid="{D5CDD505-2E9C-101B-9397-08002B2CF9AE}" pid="8" name="MSIP_Label_36b19c09-48dc-483e-8a5f-9e92f1cd9848_Name">
    <vt:lpwstr>NC - Hide Footer</vt:lpwstr>
  </property>
  <property fmtid="{D5CDD505-2E9C-101B-9397-08002B2CF9AE}" pid="9" name="MSIP_Label_36b19c09-48dc-483e-8a5f-9e92f1cd9848_SiteId">
    <vt:lpwstr>a311fc62-83f4-45f0-9502-1bb2247d4c8d</vt:lpwstr>
  </property>
  <property fmtid="{D5CDD505-2E9C-101B-9397-08002B2CF9AE}" pid="10" name="MSIP_Label_36b19c09-48dc-483e-8a5f-9e92f1cd9848_ActionId">
    <vt:lpwstr>cfde7080-0c55-49f3-b386-7b9a91d0a897</vt:lpwstr>
  </property>
  <property fmtid="{D5CDD505-2E9C-101B-9397-08002B2CF9AE}" pid="11" name="MSIP_Label_36b19c09-48dc-483e-8a5f-9e92f1cd9848_ContentBits">
    <vt:lpwstr>0</vt:lpwstr>
  </property>
  <property fmtid="{D5CDD505-2E9C-101B-9397-08002B2CF9AE}" pid="12" name="MSIP_Label_90c2fedb-0da6-4717-8531-d16a1b9930f4_Enabled">
    <vt:lpwstr>true</vt:lpwstr>
  </property>
  <property fmtid="{D5CDD505-2E9C-101B-9397-08002B2CF9AE}" pid="13" name="MSIP_Label_90c2fedb-0da6-4717-8531-d16a1b9930f4_SetDate">
    <vt:lpwstr>2025-12-30T23:01:44Z</vt:lpwstr>
  </property>
  <property fmtid="{D5CDD505-2E9C-101B-9397-08002B2CF9AE}" pid="14" name="MSIP_Label_90c2fedb-0da6-4717-8531-d16a1b9930f4_Method">
    <vt:lpwstr>Standard</vt:lpwstr>
  </property>
  <property fmtid="{D5CDD505-2E9C-101B-9397-08002B2CF9AE}" pid="15" name="MSIP_Label_90c2fedb-0da6-4717-8531-d16a1b9930f4_Name">
    <vt:lpwstr>90c2fedb-0da6-4717-8531-d16a1b9930f4</vt:lpwstr>
  </property>
  <property fmtid="{D5CDD505-2E9C-101B-9397-08002B2CF9AE}" pid="16" name="MSIP_Label_90c2fedb-0da6-4717-8531-d16a1b9930f4_SiteId">
    <vt:lpwstr>45597f60-6e37-4be7-acfb-4c9e23b261ea</vt:lpwstr>
  </property>
  <property fmtid="{D5CDD505-2E9C-101B-9397-08002B2CF9AE}" pid="17" name="MSIP_Label_90c2fedb-0da6-4717-8531-d16a1b9930f4_ActionId">
    <vt:lpwstr>802de4e2-fafb-4aec-b0b9-9e220d64aafa</vt:lpwstr>
  </property>
  <property fmtid="{D5CDD505-2E9C-101B-9397-08002B2CF9AE}" pid="18" name="MSIP_Label_90c2fedb-0da6-4717-8531-d16a1b9930f4_ContentBits">
    <vt:lpwstr>0</vt:lpwstr>
  </property>
  <property fmtid="{D5CDD505-2E9C-101B-9397-08002B2CF9AE}" pid="19" name="MSIP_Label_90c2fedb-0da6-4717-8531-d16a1b9930f4_Tag">
    <vt:lpwstr>10, 3, 0, 1</vt:lpwstr>
  </property>
</Properties>
</file>