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927DE" w14:textId="77777777" w:rsidR="00BF6148" w:rsidRPr="00BF6148" w:rsidRDefault="00BF6148" w:rsidP="00BF6148">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BF6148">
        <w:rPr>
          <w:rFonts w:ascii="Aptos" w:eastAsia="Times New Roman" w:hAnsi="Aptos" w:cs="Times New Roman"/>
          <w:b/>
          <w:bCs/>
          <w:color w:val="000000"/>
          <w:kern w:val="0"/>
          <w:lang w:eastAsia="en-GB"/>
          <w14:ligatures w14:val="none"/>
        </w:rPr>
        <w:t>Lloyd's Insights Hub Underwriting Development Triangles Update</w:t>
      </w:r>
    </w:p>
    <w:p w14:paraId="0F1B73FA" w14:textId="77777777" w:rsidR="00BF6148" w:rsidRPr="00BF6148" w:rsidRDefault="00BF6148" w:rsidP="00BF6148">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2B3CE8E8" w14:textId="45961B32" w:rsidR="00BF6148" w:rsidRPr="00BF6148" w:rsidRDefault="00BF6148" w:rsidP="00BF6148">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BF6148">
        <w:rPr>
          <w:rFonts w:ascii="Aptos" w:eastAsia="Times New Roman" w:hAnsi="Aptos" w:cs="Times New Roman"/>
          <w:color w:val="000000"/>
          <w:kern w:val="0"/>
          <w:lang w:eastAsia="en-GB"/>
          <w14:ligatures w14:val="none"/>
        </w:rPr>
        <w:t>The data source underlying the </w:t>
      </w:r>
      <w:hyperlink r:id="rId5" w:history="1">
        <w:r w:rsidRPr="00E774E6">
          <w:rPr>
            <w:rFonts w:ascii="Aptos" w:eastAsia="Times New Roman" w:hAnsi="Aptos" w:cs="Times New Roman"/>
            <w:color w:val="C00000"/>
            <w:kern w:val="0"/>
            <w:u w:val="single"/>
            <w:bdr w:val="none" w:sz="0" w:space="0" w:color="auto" w:frame="1"/>
            <w:lang w:eastAsia="en-GB"/>
            <w14:ligatures w14:val="none"/>
          </w:rPr>
          <w:t>Lloyd's Insights Hub Underwriting Development Triangles (UDT)</w:t>
        </w:r>
      </w:hyperlink>
      <w:r w:rsidRPr="00BF6148">
        <w:rPr>
          <w:rFonts w:ascii="Aptos" w:eastAsia="Times New Roman" w:hAnsi="Aptos" w:cs="Times New Roman"/>
          <w:color w:val="000000"/>
          <w:kern w:val="0"/>
          <w:lang w:eastAsia="en-GB"/>
          <w14:ligatures w14:val="none"/>
        </w:rPr>
        <w:t xml:space="preserve"> is changing due to revisions to the market's reserving data collection. While the UDT will continue to be presented in a broadly similar format and with enhanced data quality, a </w:t>
      </w:r>
      <w:r w:rsidR="00E774E6">
        <w:rPr>
          <w:rFonts w:ascii="Aptos" w:eastAsia="Times New Roman" w:hAnsi="Aptos" w:cs="Times New Roman"/>
          <w:color w:val="000000"/>
          <w:kern w:val="0"/>
          <w:lang w:eastAsia="en-GB"/>
          <w14:ligatures w14:val="none"/>
        </w:rPr>
        <w:t>value change</w:t>
      </w:r>
      <w:r w:rsidRPr="00BF6148">
        <w:rPr>
          <w:rFonts w:ascii="Aptos" w:eastAsia="Times New Roman" w:hAnsi="Aptos" w:cs="Times New Roman"/>
          <w:color w:val="000000"/>
          <w:kern w:val="0"/>
          <w:lang w:eastAsia="en-GB"/>
          <w14:ligatures w14:val="none"/>
        </w:rPr>
        <w:t xml:space="preserve"> is expected. Information on the UDT changes is detailed below, and information about the quarterly and annual data return changes can be found in the </w:t>
      </w:r>
      <w:hyperlink r:id="rId6" w:tgtFrame="_blank" w:tooltip="https://assets.lloyds.com/media/776df364-dd54-4c27-8e2d-ca245643cffd/TPD%20Reserving%20Data%20Transformation%20June%20Briefing%20Final.pdf" w:history="1">
        <w:r w:rsidRPr="00BF6148">
          <w:rPr>
            <w:rFonts w:ascii="Aptos" w:eastAsia="Times New Roman" w:hAnsi="Aptos" w:cs="Times New Roman"/>
            <w:color w:val="000000"/>
            <w:kern w:val="0"/>
            <w:u w:val="single"/>
            <w:bdr w:val="none" w:sz="0" w:space="0" w:color="auto" w:frame="1"/>
            <w:lang w:eastAsia="en-GB"/>
            <w14:ligatures w14:val="none"/>
          </w:rPr>
          <w:t>presentation to markets by Lloyd’s</w:t>
        </w:r>
        <w:r w:rsidR="00E774E6">
          <w:rPr>
            <w:rFonts w:ascii="Aptos" w:eastAsia="Times New Roman" w:hAnsi="Aptos" w:cs="Times New Roman"/>
            <w:color w:val="000000"/>
            <w:kern w:val="0"/>
            <w:u w:val="single"/>
            <w:bdr w:val="none" w:sz="0" w:space="0" w:color="auto" w:frame="1"/>
            <w:lang w:eastAsia="en-GB"/>
            <w14:ligatures w14:val="none"/>
          </w:rPr>
          <w:t>,</w:t>
        </w:r>
        <w:r w:rsidRPr="00BF6148">
          <w:rPr>
            <w:rFonts w:ascii="Aptos" w:eastAsia="Times New Roman" w:hAnsi="Aptos" w:cs="Times New Roman"/>
            <w:color w:val="000000"/>
            <w:kern w:val="0"/>
            <w:u w:val="single"/>
            <w:bdr w:val="none" w:sz="0" w:space="0" w:color="auto" w:frame="1"/>
            <w:lang w:eastAsia="en-GB"/>
            <w14:ligatures w14:val="none"/>
          </w:rPr>
          <w:t xml:space="preserve"> delivered on </w:t>
        </w:r>
        <w:r w:rsidR="00E774E6">
          <w:rPr>
            <w:rFonts w:ascii="Aptos" w:eastAsia="Times New Roman" w:hAnsi="Aptos" w:cs="Times New Roman"/>
            <w:color w:val="000000"/>
            <w:kern w:val="0"/>
            <w:u w:val="single"/>
            <w:bdr w:val="none" w:sz="0" w:space="0" w:color="auto" w:frame="1"/>
            <w:lang w:eastAsia="en-GB"/>
            <w14:ligatures w14:val="none"/>
          </w:rPr>
          <w:t>0</w:t>
        </w:r>
        <w:r w:rsidRPr="00BF6148">
          <w:rPr>
            <w:rFonts w:ascii="Aptos" w:eastAsia="Times New Roman" w:hAnsi="Aptos" w:cs="Times New Roman"/>
            <w:color w:val="000000"/>
            <w:kern w:val="0"/>
            <w:u w:val="single"/>
            <w:bdr w:val="none" w:sz="0" w:space="0" w:color="auto" w:frame="1"/>
            <w:lang w:eastAsia="en-GB"/>
            <w14:ligatures w14:val="none"/>
          </w:rPr>
          <w:t>4 June.</w:t>
        </w:r>
      </w:hyperlink>
    </w:p>
    <w:p w14:paraId="5ABFD0C4" w14:textId="77777777" w:rsidR="00BF6148" w:rsidRPr="00BF6148" w:rsidRDefault="00BF6148" w:rsidP="00BF6148">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BF6148">
        <w:rPr>
          <w:rFonts w:ascii="Aptos" w:eastAsia="Times New Roman" w:hAnsi="Aptos" w:cs="Times New Roman"/>
          <w:color w:val="000000"/>
          <w:kern w:val="0"/>
          <w:lang w:eastAsia="en-GB"/>
          <w14:ligatures w14:val="none"/>
        </w:rPr>
        <w:t> </w:t>
      </w:r>
    </w:p>
    <w:p w14:paraId="0BB8C9CC" w14:textId="7E61FDAD" w:rsidR="00BF6148" w:rsidRPr="00BF6148" w:rsidRDefault="00BF6148" w:rsidP="00BF6148">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BF6148">
        <w:rPr>
          <w:rFonts w:ascii="Aptos" w:eastAsia="Times New Roman" w:hAnsi="Aptos" w:cs="Times New Roman"/>
          <w:color w:val="000000"/>
          <w:kern w:val="0"/>
          <w:lang w:eastAsia="en-GB"/>
          <w14:ligatures w14:val="none"/>
        </w:rPr>
        <w:t>Over the past year, Lloyd's has been planning substantial </w:t>
      </w:r>
      <w:hyperlink r:id="rId7" w:tgtFrame="_blank" w:tooltip="https://www.lloyds.com/resources-and-services/capital-and-reserving/future-of-reporting" w:history="1">
        <w:r w:rsidRPr="00BF6148">
          <w:rPr>
            <w:rFonts w:ascii="Aptos" w:eastAsia="Times New Roman" w:hAnsi="Aptos" w:cs="Times New Roman"/>
            <w:color w:val="000000"/>
            <w:kern w:val="0"/>
            <w:u w:val="single"/>
            <w:bdr w:val="none" w:sz="0" w:space="0" w:color="auto" w:frame="1"/>
            <w:lang w:eastAsia="en-GB"/>
            <w14:ligatures w14:val="none"/>
          </w:rPr>
          <w:t>revisions to the market's reserving data collection</w:t>
        </w:r>
      </w:hyperlink>
      <w:r w:rsidRPr="00BF6148">
        <w:rPr>
          <w:rFonts w:ascii="Aptos" w:eastAsia="Times New Roman" w:hAnsi="Aptos" w:cs="Times New Roman"/>
          <w:color w:val="000000"/>
          <w:kern w:val="0"/>
          <w:lang w:eastAsia="en-GB"/>
          <w14:ligatures w14:val="none"/>
        </w:rPr>
        <w:t>. This will affect the</w:t>
      </w:r>
      <w:r w:rsidR="00E774E6">
        <w:rPr>
          <w:rFonts w:ascii="Aptos" w:eastAsia="Times New Roman" w:hAnsi="Aptos" w:cs="Times New Roman"/>
          <w:color w:val="000000"/>
          <w:kern w:val="0"/>
          <w:lang w:eastAsia="en-GB"/>
          <w14:ligatures w14:val="none"/>
        </w:rPr>
        <w:t xml:space="preserve"> following</w:t>
      </w:r>
      <w:r w:rsidRPr="00BF6148">
        <w:rPr>
          <w:rFonts w:ascii="Aptos" w:eastAsia="Times New Roman" w:hAnsi="Aptos" w:cs="Times New Roman"/>
          <w:color w:val="000000"/>
          <w:kern w:val="0"/>
          <w:lang w:eastAsia="en-GB"/>
          <w14:ligatures w14:val="none"/>
        </w:rPr>
        <w:t>:</w:t>
      </w:r>
    </w:p>
    <w:p w14:paraId="4B223B60" w14:textId="77777777" w:rsidR="00BF6148" w:rsidRPr="00BF6148" w:rsidRDefault="00BF6148" w:rsidP="00E774E6">
      <w:pPr>
        <w:numPr>
          <w:ilvl w:val="0"/>
          <w:numId w:val="1"/>
        </w:numPr>
        <w:shd w:val="clear" w:color="auto" w:fill="FFFFFF"/>
        <w:tabs>
          <w:tab w:val="clear" w:pos="720"/>
          <w:tab w:val="num" w:pos="993"/>
        </w:tabs>
        <w:spacing w:before="100" w:beforeAutospacing="1" w:after="100" w:afterAutospacing="1" w:line="240" w:lineRule="auto"/>
        <w:ind w:firstLine="0"/>
        <w:textAlignment w:val="baseline"/>
        <w:rPr>
          <w:rFonts w:ascii="Aptos" w:eastAsia="Times New Roman" w:hAnsi="Aptos" w:cs="Segoe UI"/>
          <w:color w:val="000000"/>
          <w:kern w:val="0"/>
          <w:lang w:eastAsia="en-GB"/>
          <w14:ligatures w14:val="none"/>
        </w:rPr>
      </w:pPr>
      <w:r w:rsidRPr="00BF6148">
        <w:rPr>
          <w:rFonts w:ascii="Aptos" w:eastAsia="Times New Roman" w:hAnsi="Aptos" w:cs="Segoe UI"/>
          <w:color w:val="000000"/>
          <w:kern w:val="0"/>
          <w:lang w:eastAsia="en-GB"/>
          <w14:ligatures w14:val="none"/>
        </w:rPr>
        <w:t>Gross Quarterly Data Return (GQD) and</w:t>
      </w:r>
    </w:p>
    <w:p w14:paraId="7B4CA86A" w14:textId="77777777" w:rsidR="00BF6148" w:rsidRPr="00BF6148" w:rsidRDefault="00BF6148" w:rsidP="00E774E6">
      <w:pPr>
        <w:numPr>
          <w:ilvl w:val="0"/>
          <w:numId w:val="1"/>
        </w:numPr>
        <w:shd w:val="clear" w:color="auto" w:fill="FFFFFF"/>
        <w:tabs>
          <w:tab w:val="clear" w:pos="720"/>
          <w:tab w:val="num" w:pos="993"/>
        </w:tabs>
        <w:spacing w:before="100" w:beforeAutospacing="1" w:after="100" w:afterAutospacing="1" w:line="240" w:lineRule="auto"/>
        <w:ind w:firstLine="0"/>
        <w:textAlignment w:val="baseline"/>
        <w:rPr>
          <w:rFonts w:ascii="Aptos" w:eastAsia="Times New Roman" w:hAnsi="Aptos" w:cs="Segoe UI"/>
          <w:color w:val="000000"/>
          <w:kern w:val="0"/>
          <w:lang w:eastAsia="en-GB"/>
          <w14:ligatures w14:val="none"/>
        </w:rPr>
      </w:pPr>
      <w:r w:rsidRPr="00BF6148">
        <w:rPr>
          <w:rFonts w:ascii="Aptos" w:eastAsia="Times New Roman" w:hAnsi="Aptos" w:cs="Segoe UI"/>
          <w:color w:val="000000"/>
          <w:kern w:val="0"/>
          <w:lang w:eastAsia="en-GB"/>
          <w14:ligatures w14:val="none"/>
        </w:rPr>
        <w:t>Technical Provisions Data Return (TPD)</w:t>
      </w:r>
    </w:p>
    <w:p w14:paraId="46E5E2D8" w14:textId="77777777" w:rsidR="00BF6148" w:rsidRPr="00BF6148" w:rsidRDefault="00BF6148" w:rsidP="00BF6148">
      <w:pPr>
        <w:shd w:val="clear" w:color="auto" w:fill="FFFFFF"/>
        <w:spacing w:before="100" w:beforeAutospacing="1" w:after="100" w:afterAutospacing="1" w:line="240" w:lineRule="auto"/>
        <w:ind w:left="720"/>
        <w:textAlignment w:val="baseline"/>
        <w:rPr>
          <w:rFonts w:ascii="Aptos" w:eastAsia="Times New Roman" w:hAnsi="Aptos" w:cs="Segoe UI"/>
          <w:color w:val="000000"/>
          <w:kern w:val="0"/>
          <w:lang w:eastAsia="en-GB"/>
          <w14:ligatures w14:val="none"/>
        </w:rPr>
      </w:pPr>
    </w:p>
    <w:p w14:paraId="7C3C4784" w14:textId="17136BB6" w:rsidR="00BF6148" w:rsidRPr="00BF6148" w:rsidRDefault="00E774E6" w:rsidP="00BF6148">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Which</w:t>
      </w:r>
      <w:r w:rsidR="00BF6148" w:rsidRPr="00BF6148">
        <w:rPr>
          <w:rFonts w:ascii="Aptos" w:eastAsia="Times New Roman" w:hAnsi="Aptos" w:cs="Times New Roman"/>
          <w:color w:val="000000"/>
          <w:kern w:val="0"/>
          <w:lang w:eastAsia="en-GB"/>
          <w14:ligatures w14:val="none"/>
        </w:rPr>
        <w:t xml:space="preserve"> will be replaced by the:</w:t>
      </w:r>
    </w:p>
    <w:p w14:paraId="2F9084FF" w14:textId="77777777" w:rsidR="00BF6148" w:rsidRPr="00BF6148" w:rsidRDefault="00BF6148" w:rsidP="00E774E6">
      <w:pPr>
        <w:numPr>
          <w:ilvl w:val="0"/>
          <w:numId w:val="2"/>
        </w:numPr>
        <w:shd w:val="clear" w:color="auto" w:fill="FFFFFF"/>
        <w:tabs>
          <w:tab w:val="clear" w:pos="720"/>
          <w:tab w:val="num" w:pos="993"/>
        </w:tabs>
        <w:spacing w:before="100" w:beforeAutospacing="1" w:after="100" w:afterAutospacing="1" w:line="240" w:lineRule="auto"/>
        <w:ind w:firstLine="0"/>
        <w:textAlignment w:val="baseline"/>
        <w:rPr>
          <w:rFonts w:ascii="Aptos" w:eastAsia="Times New Roman" w:hAnsi="Aptos" w:cs="Segoe UI"/>
          <w:color w:val="000000"/>
          <w:kern w:val="0"/>
          <w:lang w:eastAsia="en-GB"/>
          <w14:ligatures w14:val="none"/>
        </w:rPr>
      </w:pPr>
      <w:r w:rsidRPr="00BF6148">
        <w:rPr>
          <w:rFonts w:ascii="Aptos" w:eastAsia="Times New Roman" w:hAnsi="Aptos" w:cs="Segoe UI"/>
          <w:color w:val="000000"/>
          <w:kern w:val="0"/>
          <w:lang w:eastAsia="en-GB"/>
          <w14:ligatures w14:val="none"/>
        </w:rPr>
        <w:t>Reserving Return Quarterly (RRQ) and</w:t>
      </w:r>
    </w:p>
    <w:p w14:paraId="564AEFCB" w14:textId="77777777" w:rsidR="00BF6148" w:rsidRPr="00BF6148" w:rsidRDefault="00BF6148" w:rsidP="00E774E6">
      <w:pPr>
        <w:numPr>
          <w:ilvl w:val="0"/>
          <w:numId w:val="2"/>
        </w:numPr>
        <w:shd w:val="clear" w:color="auto" w:fill="FFFFFF"/>
        <w:tabs>
          <w:tab w:val="clear" w:pos="720"/>
          <w:tab w:val="num" w:pos="993"/>
        </w:tabs>
        <w:spacing w:before="100" w:beforeAutospacing="1" w:after="100" w:afterAutospacing="1" w:line="240" w:lineRule="auto"/>
        <w:ind w:firstLine="0"/>
        <w:textAlignment w:val="baseline"/>
        <w:rPr>
          <w:rFonts w:ascii="Aptos" w:eastAsia="Times New Roman" w:hAnsi="Aptos" w:cs="Segoe UI"/>
          <w:color w:val="000000"/>
          <w:kern w:val="0"/>
          <w:lang w:eastAsia="en-GB"/>
          <w14:ligatures w14:val="none"/>
        </w:rPr>
      </w:pPr>
      <w:r w:rsidRPr="00BF6148">
        <w:rPr>
          <w:rFonts w:ascii="Aptos" w:eastAsia="Times New Roman" w:hAnsi="Aptos" w:cs="Segoe UI"/>
          <w:color w:val="000000"/>
          <w:kern w:val="0"/>
          <w:lang w:eastAsia="en-GB"/>
          <w14:ligatures w14:val="none"/>
        </w:rPr>
        <w:t>Reserving Return Annual (RRA).</w:t>
      </w:r>
    </w:p>
    <w:p w14:paraId="13DE31B0" w14:textId="77777777" w:rsidR="00BF6148" w:rsidRPr="00BF6148" w:rsidRDefault="00BF6148" w:rsidP="00BF6148">
      <w:pPr>
        <w:shd w:val="clear" w:color="auto" w:fill="FFFFFF"/>
        <w:spacing w:before="100" w:beforeAutospacing="1" w:after="100" w:afterAutospacing="1" w:line="240" w:lineRule="auto"/>
        <w:ind w:left="720"/>
        <w:textAlignment w:val="baseline"/>
        <w:rPr>
          <w:rFonts w:ascii="Aptos" w:eastAsia="Times New Roman" w:hAnsi="Aptos" w:cs="Segoe UI"/>
          <w:color w:val="000000"/>
          <w:kern w:val="0"/>
          <w:lang w:eastAsia="en-GB"/>
          <w14:ligatures w14:val="none"/>
        </w:rPr>
      </w:pPr>
    </w:p>
    <w:p w14:paraId="4E24F8D7" w14:textId="4A1A7B47" w:rsidR="00BF6148" w:rsidRPr="00BF6148" w:rsidRDefault="00BF6148" w:rsidP="00BF6148">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BF6148">
        <w:rPr>
          <w:rFonts w:ascii="Aptos" w:eastAsia="Times New Roman" w:hAnsi="Aptos" w:cs="Times New Roman"/>
          <w:color w:val="000000"/>
          <w:kern w:val="0"/>
          <w:lang w:eastAsia="en-GB"/>
          <w14:ligatures w14:val="none"/>
        </w:rPr>
        <w:t xml:space="preserve">Testing will </w:t>
      </w:r>
      <w:r w:rsidR="00E774E6">
        <w:rPr>
          <w:rFonts w:ascii="Aptos" w:eastAsia="Times New Roman" w:hAnsi="Aptos" w:cs="Times New Roman"/>
          <w:color w:val="000000"/>
          <w:kern w:val="0"/>
          <w:lang w:eastAsia="en-GB"/>
          <w14:ligatures w14:val="none"/>
        </w:rPr>
        <w:t>occur</w:t>
      </w:r>
      <w:r w:rsidRPr="00BF6148">
        <w:rPr>
          <w:rFonts w:ascii="Aptos" w:eastAsia="Times New Roman" w:hAnsi="Aptos" w:cs="Times New Roman"/>
          <w:color w:val="000000"/>
          <w:kern w:val="0"/>
          <w:lang w:eastAsia="en-GB"/>
          <w14:ligatures w14:val="none"/>
        </w:rPr>
        <w:t xml:space="preserve"> in Q4 2024</w:t>
      </w:r>
      <w:r w:rsidR="00E774E6">
        <w:rPr>
          <w:rFonts w:ascii="Aptos" w:eastAsia="Times New Roman" w:hAnsi="Aptos" w:cs="Times New Roman"/>
          <w:color w:val="000000"/>
          <w:kern w:val="0"/>
          <w:lang w:eastAsia="en-GB"/>
          <w14:ligatures w14:val="none"/>
        </w:rPr>
        <w:t>, and submissions will occur</w:t>
      </w:r>
      <w:r w:rsidRPr="00BF6148">
        <w:rPr>
          <w:rFonts w:ascii="Aptos" w:eastAsia="Times New Roman" w:hAnsi="Aptos" w:cs="Times New Roman"/>
          <w:color w:val="000000"/>
          <w:kern w:val="0"/>
          <w:lang w:eastAsia="en-GB"/>
          <w14:ligatures w14:val="none"/>
        </w:rPr>
        <w:t xml:space="preserve"> in Q1 2025. The </w:t>
      </w:r>
      <w:hyperlink r:id="rId8" w:tgtFrame="_blank" w:tooltip="https://insights.lloyds.com/product/underwritingdevelopmenttriangles-market/overview" w:history="1">
        <w:r w:rsidRPr="00BF6148">
          <w:rPr>
            <w:rFonts w:ascii="Aptos" w:eastAsia="Times New Roman" w:hAnsi="Aptos" w:cs="Times New Roman"/>
            <w:color w:val="000000"/>
            <w:kern w:val="0"/>
            <w:u w:val="single"/>
            <w:bdr w:val="none" w:sz="0" w:space="0" w:color="auto" w:frame="1"/>
            <w:lang w:eastAsia="en-GB"/>
            <w14:ligatures w14:val="none"/>
          </w:rPr>
          <w:t>Lloyd's Insights Hub Underwriting Development Triangles (UDT</w:t>
        </w:r>
      </w:hyperlink>
      <w:hyperlink r:id="rId9" w:tgtFrame="_blank" w:tooltip="https://insights.lloyds.com/product/underwritingdevelopmenttriangles-market/overview" w:history="1">
        <w:r w:rsidRPr="00BF6148">
          <w:rPr>
            <w:rFonts w:ascii="Aptos" w:eastAsia="Times New Roman" w:hAnsi="Aptos" w:cs="Times New Roman"/>
            <w:color w:val="000000"/>
            <w:kern w:val="0"/>
            <w:u w:val="single"/>
            <w:bdr w:val="none" w:sz="0" w:space="0" w:color="auto" w:frame="1"/>
            <w:lang w:eastAsia="en-GB"/>
            <w14:ligatures w14:val="none"/>
          </w:rPr>
          <w:t>)</w:t>
        </w:r>
      </w:hyperlink>
      <w:r w:rsidRPr="00BF6148">
        <w:rPr>
          <w:rFonts w:ascii="Aptos" w:eastAsia="Times New Roman" w:hAnsi="Aptos" w:cs="Times New Roman"/>
          <w:color w:val="000000"/>
          <w:kern w:val="0"/>
          <w:lang w:eastAsia="en-GB"/>
          <w14:ligatures w14:val="none"/>
        </w:rPr>
        <w:t xml:space="preserve">, currently based on the GQD return, will be impacted by this initiative, </w:t>
      </w:r>
      <w:r w:rsidR="00E774E6">
        <w:rPr>
          <w:rFonts w:ascii="Aptos" w:eastAsia="Times New Roman" w:hAnsi="Aptos" w:cs="Times New Roman"/>
          <w:color w:val="000000"/>
          <w:kern w:val="0"/>
          <w:lang w:eastAsia="en-GB"/>
          <w14:ligatures w14:val="none"/>
        </w:rPr>
        <w:t>which will transition</w:t>
      </w:r>
      <w:r w:rsidRPr="00BF6148">
        <w:rPr>
          <w:rFonts w:ascii="Aptos" w:eastAsia="Times New Roman" w:hAnsi="Aptos" w:cs="Times New Roman"/>
          <w:color w:val="000000"/>
          <w:kern w:val="0"/>
          <w:lang w:eastAsia="en-GB"/>
          <w14:ligatures w14:val="none"/>
        </w:rPr>
        <w:t xml:space="preserve"> the UDT underlying data to the RRQ. The proposed data granularity for collection will remain unchanged; hence, the UDT will continue to be displayed at a risk code/YOA level, with the applicable concentration rules enforced, but the fundamental basis of the data will shift. These changes include:</w:t>
      </w:r>
    </w:p>
    <w:p w14:paraId="7B6B2A04" w14:textId="3C02EA5D" w:rsidR="00BF6148" w:rsidRPr="00E774E6" w:rsidRDefault="00BF6148" w:rsidP="00E774E6">
      <w:pPr>
        <w:pStyle w:val="ListParagraph"/>
        <w:numPr>
          <w:ilvl w:val="0"/>
          <w:numId w:val="4"/>
        </w:numPr>
        <w:shd w:val="clear" w:color="auto" w:fill="FFFFFF"/>
        <w:spacing w:after="0" w:line="240" w:lineRule="auto"/>
        <w:rPr>
          <w:rFonts w:ascii="Aptos" w:eastAsia="Times New Roman" w:hAnsi="Aptos" w:cs="Segoe UI"/>
          <w:color w:val="000000"/>
          <w:kern w:val="0"/>
          <w:lang w:eastAsia="en-GB"/>
          <w14:ligatures w14:val="none"/>
        </w:rPr>
      </w:pPr>
      <w:r w:rsidRPr="00E774E6">
        <w:rPr>
          <w:rFonts w:ascii="Aptos" w:eastAsia="Times New Roman" w:hAnsi="Aptos" w:cs="Segoe UI"/>
          <w:color w:val="000000"/>
          <w:kern w:val="0"/>
          <w:bdr w:val="none" w:sz="0" w:space="0" w:color="auto" w:frame="1"/>
          <w:lang w:eastAsia="en-GB"/>
          <w14:ligatures w14:val="none"/>
        </w:rPr>
        <w:t xml:space="preserve">Transitioning from an incremental collection for the </w:t>
      </w:r>
      <w:r w:rsidR="00E774E6" w:rsidRPr="00E774E6">
        <w:rPr>
          <w:rFonts w:ascii="Aptos" w:eastAsia="Times New Roman" w:hAnsi="Aptos" w:cs="Segoe UI"/>
          <w:color w:val="000000"/>
          <w:kern w:val="0"/>
          <w:bdr w:val="none" w:sz="0" w:space="0" w:color="auto" w:frame="1"/>
          <w:lang w:eastAsia="en-GB"/>
          <w14:ligatures w14:val="none"/>
        </w:rPr>
        <w:t>submission quarter</w:t>
      </w:r>
      <w:r w:rsidRPr="00E774E6">
        <w:rPr>
          <w:rFonts w:ascii="Aptos" w:eastAsia="Times New Roman" w:hAnsi="Aptos" w:cs="Segoe UI"/>
          <w:color w:val="000000"/>
          <w:kern w:val="0"/>
          <w:bdr w:val="none" w:sz="0" w:space="0" w:color="auto" w:frame="1"/>
          <w:lang w:eastAsia="en-GB"/>
          <w14:ligatures w14:val="none"/>
        </w:rPr>
        <w:t xml:space="preserve"> to gathering complete cumulative triangles from the market. This is expected to cause fluctuations in the figures due to:</w:t>
      </w:r>
    </w:p>
    <w:p w14:paraId="5937DA75" w14:textId="77777777" w:rsidR="00BF6148" w:rsidRPr="00BF6148" w:rsidRDefault="00BF6148" w:rsidP="00E774E6">
      <w:pPr>
        <w:numPr>
          <w:ilvl w:val="1"/>
          <w:numId w:val="3"/>
        </w:numPr>
        <w:shd w:val="clear" w:color="auto" w:fill="FFFFFF"/>
        <w:tabs>
          <w:tab w:val="clear" w:pos="1440"/>
          <w:tab w:val="num" w:pos="1701"/>
        </w:tabs>
        <w:spacing w:after="0" w:line="240" w:lineRule="auto"/>
        <w:ind w:firstLine="0"/>
        <w:rPr>
          <w:rFonts w:ascii="Aptos" w:eastAsia="Times New Roman" w:hAnsi="Aptos" w:cs="Segoe UI"/>
          <w:color w:val="000000"/>
          <w:kern w:val="0"/>
          <w:lang w:eastAsia="en-GB"/>
          <w14:ligatures w14:val="none"/>
        </w:rPr>
      </w:pPr>
      <w:r w:rsidRPr="00BF6148">
        <w:rPr>
          <w:rFonts w:ascii="Aptos" w:eastAsia="Times New Roman" w:hAnsi="Aptos" w:cs="Segoe UI"/>
          <w:color w:val="000000"/>
          <w:kern w:val="0"/>
          <w:bdr w:val="none" w:sz="0" w:space="0" w:color="auto" w:frame="1"/>
          <w:lang w:eastAsia="en-GB"/>
          <w14:ligatures w14:val="none"/>
        </w:rPr>
        <w:t>Revealing discrepancies between the GQD data submitted and the market's underlying datasets, particularly since the GQD is submitted incrementally.</w:t>
      </w:r>
    </w:p>
    <w:p w14:paraId="4EC48FD9" w14:textId="77777777" w:rsidR="00BF6148" w:rsidRPr="00BF6148" w:rsidRDefault="00BF6148" w:rsidP="00E774E6">
      <w:pPr>
        <w:numPr>
          <w:ilvl w:val="1"/>
          <w:numId w:val="3"/>
        </w:numPr>
        <w:shd w:val="clear" w:color="auto" w:fill="FFFFFF"/>
        <w:tabs>
          <w:tab w:val="clear" w:pos="1440"/>
          <w:tab w:val="num" w:pos="1701"/>
        </w:tabs>
        <w:spacing w:after="0" w:line="240" w:lineRule="auto"/>
        <w:ind w:firstLine="0"/>
        <w:rPr>
          <w:rFonts w:ascii="Aptos" w:eastAsia="Times New Roman" w:hAnsi="Aptos" w:cs="Segoe UI"/>
          <w:color w:val="000000"/>
          <w:kern w:val="0"/>
          <w:lang w:eastAsia="en-GB"/>
          <w14:ligatures w14:val="none"/>
        </w:rPr>
      </w:pPr>
      <w:r w:rsidRPr="00BF6148">
        <w:rPr>
          <w:rFonts w:ascii="Aptos" w:eastAsia="Times New Roman" w:hAnsi="Aptos" w:cs="Segoe UI"/>
          <w:color w:val="000000"/>
          <w:kern w:val="0"/>
          <w:bdr w:val="none" w:sz="0" w:space="0" w:color="auto" w:frame="1"/>
          <w:lang w:eastAsia="en-GB"/>
          <w14:ligatures w14:val="none"/>
        </w:rPr>
        <w:t>Typically, when discrepancies are identified in the GQD, corrections are often applied to the subsequent quarter's submission instead of retroactively to the development point where the issue originated. With the shift to collecting complete triangles, movements at historical development points are expected. This will be a more accurate reflection of market data.</w:t>
      </w:r>
    </w:p>
    <w:p w14:paraId="65CF4D66" w14:textId="7064CE0E" w:rsidR="00BF6148" w:rsidRPr="00BF6148" w:rsidRDefault="00BF6148" w:rsidP="00E774E6">
      <w:pPr>
        <w:numPr>
          <w:ilvl w:val="1"/>
          <w:numId w:val="3"/>
        </w:numPr>
        <w:shd w:val="clear" w:color="auto" w:fill="FFFFFF"/>
        <w:tabs>
          <w:tab w:val="clear" w:pos="1440"/>
          <w:tab w:val="num" w:pos="1701"/>
        </w:tabs>
        <w:spacing w:after="0" w:line="240" w:lineRule="auto"/>
        <w:ind w:firstLine="0"/>
        <w:rPr>
          <w:rFonts w:ascii="Aptos" w:eastAsia="Times New Roman" w:hAnsi="Aptos" w:cs="Segoe UI"/>
          <w:color w:val="000000"/>
          <w:kern w:val="0"/>
          <w:lang w:eastAsia="en-GB"/>
          <w14:ligatures w14:val="none"/>
        </w:rPr>
      </w:pPr>
      <w:r w:rsidRPr="00BF6148">
        <w:rPr>
          <w:rFonts w:ascii="Aptos" w:eastAsia="Times New Roman" w:hAnsi="Aptos" w:cs="Segoe UI"/>
          <w:color w:val="000000"/>
          <w:kern w:val="0"/>
          <w:bdr w:val="none" w:sz="0" w:space="0" w:color="auto" w:frame="1"/>
          <w:lang w:eastAsia="en-GB"/>
          <w14:ligatures w14:val="none"/>
        </w:rPr>
        <w:t xml:space="preserve">The GQD was introduced in Q3 2011, and </w:t>
      </w:r>
      <w:r w:rsidR="00E774E6">
        <w:rPr>
          <w:rFonts w:ascii="Aptos" w:eastAsia="Times New Roman" w:hAnsi="Aptos" w:cs="Segoe UI"/>
          <w:color w:val="000000"/>
          <w:kern w:val="0"/>
          <w:bdr w:val="none" w:sz="0" w:space="0" w:color="auto" w:frame="1"/>
          <w:lang w:eastAsia="en-GB"/>
          <w14:ligatures w14:val="none"/>
        </w:rPr>
        <w:t>before</w:t>
      </w:r>
      <w:r w:rsidRPr="00BF6148">
        <w:rPr>
          <w:rFonts w:ascii="Aptos" w:eastAsia="Times New Roman" w:hAnsi="Aptos" w:cs="Segoe UI"/>
          <w:color w:val="000000"/>
          <w:kern w:val="0"/>
          <w:bdr w:val="none" w:sz="0" w:space="0" w:color="auto" w:frame="1"/>
          <w:lang w:eastAsia="en-GB"/>
          <w14:ligatures w14:val="none"/>
        </w:rPr>
        <w:t xml:space="preserve"> that, it was compiled from various data sources, which will also result in shifts at earlier years/development points between the old and new datasets.</w:t>
      </w:r>
    </w:p>
    <w:p w14:paraId="5CD92C87" w14:textId="085254FB" w:rsidR="00BF6148" w:rsidRPr="00BF6148" w:rsidRDefault="00BF6148" w:rsidP="00E774E6">
      <w:pPr>
        <w:numPr>
          <w:ilvl w:val="0"/>
          <w:numId w:val="3"/>
        </w:numPr>
        <w:shd w:val="clear" w:color="auto" w:fill="FFFFFF"/>
        <w:tabs>
          <w:tab w:val="clear" w:pos="720"/>
          <w:tab w:val="num" w:pos="993"/>
        </w:tabs>
        <w:spacing w:after="0" w:line="240" w:lineRule="auto"/>
        <w:ind w:firstLine="0"/>
        <w:rPr>
          <w:rFonts w:ascii="Aptos" w:eastAsia="Times New Roman" w:hAnsi="Aptos" w:cs="Segoe UI"/>
          <w:color w:val="000000"/>
          <w:kern w:val="0"/>
          <w:lang w:eastAsia="en-GB"/>
          <w14:ligatures w14:val="none"/>
        </w:rPr>
      </w:pPr>
      <w:r w:rsidRPr="00BF6148">
        <w:rPr>
          <w:rFonts w:ascii="Aptos" w:eastAsia="Times New Roman" w:hAnsi="Aptos" w:cs="Segoe UI"/>
          <w:color w:val="000000"/>
          <w:kern w:val="0"/>
          <w:bdr w:val="none" w:sz="0" w:space="0" w:color="auto" w:frame="1"/>
          <w:lang w:eastAsia="en-GB"/>
          <w14:ligatures w14:val="none"/>
        </w:rPr>
        <w:lastRenderedPageBreak/>
        <w:t>The RRQ will adopt a rolling 20-year scope</w:t>
      </w:r>
      <w:r w:rsidR="00E774E6">
        <w:rPr>
          <w:rFonts w:ascii="Aptos" w:eastAsia="Times New Roman" w:hAnsi="Aptos" w:cs="Segoe UI"/>
          <w:color w:val="000000"/>
          <w:kern w:val="0"/>
          <w:bdr w:val="none" w:sz="0" w:space="0" w:color="auto" w:frame="1"/>
          <w:lang w:eastAsia="en-GB"/>
          <w14:ligatures w14:val="none"/>
        </w:rPr>
        <w:t xml:space="preserve"> instead of</w:t>
      </w:r>
      <w:r w:rsidRPr="00BF6148">
        <w:rPr>
          <w:rFonts w:ascii="Aptos" w:eastAsia="Times New Roman" w:hAnsi="Aptos" w:cs="Segoe UI"/>
          <w:color w:val="000000"/>
          <w:kern w:val="0"/>
          <w:bdr w:val="none" w:sz="0" w:space="0" w:color="auto" w:frame="1"/>
          <w:lang w:eastAsia="en-GB"/>
          <w14:ligatures w14:val="none"/>
        </w:rPr>
        <w:t xml:space="preserve"> gathering all data dating back to 1993. The current plan does not include storing or sharing data beyond 20 years.</w:t>
      </w:r>
    </w:p>
    <w:p w14:paraId="128E1528" w14:textId="77777777" w:rsidR="00BF6148" w:rsidRPr="00BF6148" w:rsidRDefault="00BF6148" w:rsidP="00E774E6">
      <w:pPr>
        <w:numPr>
          <w:ilvl w:val="0"/>
          <w:numId w:val="3"/>
        </w:numPr>
        <w:shd w:val="clear" w:color="auto" w:fill="FFFFFF"/>
        <w:tabs>
          <w:tab w:val="clear" w:pos="720"/>
          <w:tab w:val="num" w:pos="993"/>
        </w:tabs>
        <w:spacing w:after="0" w:line="240" w:lineRule="auto"/>
        <w:ind w:firstLine="0"/>
        <w:textAlignment w:val="baseline"/>
        <w:rPr>
          <w:rFonts w:ascii="Aptos" w:eastAsia="Times New Roman" w:hAnsi="Aptos" w:cs="Segoe UI"/>
          <w:color w:val="000000"/>
          <w:kern w:val="0"/>
          <w:lang w:eastAsia="en-GB"/>
          <w14:ligatures w14:val="none"/>
        </w:rPr>
      </w:pPr>
      <w:r w:rsidRPr="00BF6148">
        <w:rPr>
          <w:rFonts w:ascii="Aptos" w:eastAsia="Times New Roman" w:hAnsi="Aptos" w:cs="Segoe UI"/>
          <w:color w:val="000000"/>
          <w:kern w:val="0"/>
          <w:lang w:eastAsia="en-GB"/>
          <w14:ligatures w14:val="none"/>
        </w:rPr>
        <w:t>Currency details will no longer be collected, leading to a single conversion regime.</w:t>
      </w:r>
    </w:p>
    <w:p w14:paraId="6FCE5866" w14:textId="77777777" w:rsidR="00BF6148" w:rsidRPr="00BF6148" w:rsidRDefault="00BF6148" w:rsidP="00BF6148">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5A223C16" w14:textId="723FBA31" w:rsidR="00BF6148" w:rsidRPr="00BF6148" w:rsidRDefault="00BF6148" w:rsidP="00BF6148">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BF6148">
        <w:rPr>
          <w:rFonts w:ascii="Aptos" w:eastAsia="Times New Roman" w:hAnsi="Aptos" w:cs="Times New Roman"/>
          <w:color w:val="000000"/>
          <w:kern w:val="0"/>
          <w:lang w:eastAsia="en-GB"/>
          <w14:ligatures w14:val="none"/>
        </w:rPr>
        <w:t xml:space="preserve">Although these changes may result in material movement in the figures underpinning the UDT, </w:t>
      </w:r>
      <w:r w:rsidR="00E774E6">
        <w:rPr>
          <w:rFonts w:ascii="Aptos" w:eastAsia="Times New Roman" w:hAnsi="Aptos" w:cs="Times New Roman"/>
          <w:color w:val="000000"/>
          <w:kern w:val="0"/>
          <w:lang w:eastAsia="en-GB"/>
          <w14:ligatures w14:val="none"/>
        </w:rPr>
        <w:t>they are anticipated to</w:t>
      </w:r>
      <w:r w:rsidRPr="00BF6148">
        <w:rPr>
          <w:rFonts w:ascii="Aptos" w:eastAsia="Times New Roman" w:hAnsi="Aptos" w:cs="Times New Roman"/>
          <w:color w:val="000000"/>
          <w:kern w:val="0"/>
          <w:lang w:eastAsia="en-GB"/>
          <w14:ligatures w14:val="none"/>
        </w:rPr>
        <w:t xml:space="preserve"> enhance the data quality and offer a more accurate representation of the risks in the markets and the associated premium/claim development patterns. </w:t>
      </w:r>
    </w:p>
    <w:p w14:paraId="6E67FBB8" w14:textId="77777777" w:rsidR="00BF6148" w:rsidRPr="00BF6148" w:rsidRDefault="00BF6148" w:rsidP="00BF6148">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BF6148">
        <w:rPr>
          <w:rFonts w:ascii="Aptos" w:eastAsia="Times New Roman" w:hAnsi="Aptos" w:cs="Times New Roman"/>
          <w:color w:val="000000"/>
          <w:kern w:val="0"/>
          <w:lang w:eastAsia="en-GB"/>
          <w14:ligatures w14:val="none"/>
        </w:rPr>
        <w:t> </w:t>
      </w:r>
    </w:p>
    <w:p w14:paraId="2630B8FB" w14:textId="5608C444" w:rsidR="00BF6148" w:rsidRPr="00BF6148" w:rsidRDefault="00BF6148" w:rsidP="00BF6148">
      <w:pPr>
        <w:shd w:val="clear" w:color="auto" w:fill="FFFFFF"/>
        <w:spacing w:after="0" w:line="240" w:lineRule="auto"/>
        <w:textAlignment w:val="baseline"/>
        <w:rPr>
          <w:rFonts w:ascii="Aptos" w:eastAsia="Times New Roman" w:hAnsi="Aptos" w:cs="Times New Roman"/>
          <w:color w:val="000000"/>
          <w:kern w:val="0"/>
          <w:lang w:eastAsia="en-GB"/>
          <w14:ligatures w14:val="none"/>
        </w:rPr>
      </w:pPr>
      <w:proofErr w:type="gramStart"/>
      <w:r w:rsidRPr="00BF6148">
        <w:rPr>
          <w:rFonts w:ascii="Aptos" w:eastAsia="Times New Roman" w:hAnsi="Aptos" w:cs="Times New Roman"/>
          <w:color w:val="000000"/>
          <w:kern w:val="0"/>
          <w:lang w:eastAsia="en-GB"/>
          <w14:ligatures w14:val="none"/>
        </w:rPr>
        <w:t>In light of</w:t>
      </w:r>
      <w:proofErr w:type="gramEnd"/>
      <w:r w:rsidRPr="00BF6148">
        <w:rPr>
          <w:rFonts w:ascii="Aptos" w:eastAsia="Times New Roman" w:hAnsi="Aptos" w:cs="Times New Roman"/>
          <w:color w:val="000000"/>
          <w:kern w:val="0"/>
          <w:lang w:eastAsia="en-GB"/>
          <w14:ligatures w14:val="none"/>
        </w:rPr>
        <w:t xml:space="preserve"> the necessary redevelopment of the UDT due to data changes and the inclusion of new information in the RRQ, such as syndicate reserving class and its corresponding Lloyd's Line of business, this is an opportune moment to enhance the UDT. Any suggestions you may have for UDT improvements are welcomed. Please </w:t>
      </w:r>
      <w:r w:rsidR="00E774E6">
        <w:rPr>
          <w:rFonts w:ascii="Aptos" w:eastAsia="Times New Roman" w:hAnsi="Aptos" w:cs="Times New Roman"/>
          <w:color w:val="000000"/>
          <w:kern w:val="0"/>
          <w:lang w:eastAsia="en-GB"/>
          <w14:ligatures w14:val="none"/>
        </w:rPr>
        <w:t xml:space="preserve">send </w:t>
      </w:r>
      <w:r w:rsidRPr="00BF6148">
        <w:rPr>
          <w:rFonts w:ascii="Aptos" w:eastAsia="Times New Roman" w:hAnsi="Aptos" w:cs="Times New Roman"/>
          <w:color w:val="000000"/>
          <w:kern w:val="0"/>
          <w:lang w:eastAsia="en-GB"/>
          <w14:ligatures w14:val="none"/>
        </w:rPr>
        <w:t>feedback to Rose Pyke (</w:t>
      </w:r>
      <w:hyperlink r:id="rId10" w:history="1">
        <w:r w:rsidRPr="00E774E6">
          <w:rPr>
            <w:rFonts w:ascii="Aptos" w:eastAsia="Times New Roman" w:hAnsi="Aptos" w:cs="Times New Roman"/>
            <w:color w:val="C00000"/>
            <w:kern w:val="0"/>
            <w:u w:val="single"/>
            <w:bdr w:val="none" w:sz="0" w:space="0" w:color="auto" w:frame="1"/>
            <w:lang w:eastAsia="en-GB"/>
            <w14:ligatures w14:val="none"/>
          </w:rPr>
          <w:t>rose.pyke@lmalloyds.com</w:t>
        </w:r>
      </w:hyperlink>
      <w:r w:rsidRPr="00BF6148">
        <w:rPr>
          <w:rFonts w:ascii="Aptos" w:eastAsia="Times New Roman" w:hAnsi="Aptos" w:cs="Times New Roman"/>
          <w:color w:val="000000"/>
          <w:kern w:val="0"/>
          <w:lang w:eastAsia="en-GB"/>
          <w14:ligatures w14:val="none"/>
        </w:rPr>
        <w:t xml:space="preserve">) for </w:t>
      </w:r>
      <w:r w:rsidR="00E774E6">
        <w:rPr>
          <w:rFonts w:ascii="Aptos" w:eastAsia="Times New Roman" w:hAnsi="Aptos" w:cs="Times New Roman"/>
          <w:color w:val="000000"/>
          <w:kern w:val="0"/>
          <w:lang w:eastAsia="en-GB"/>
          <w14:ligatures w14:val="none"/>
        </w:rPr>
        <w:t>collating and discussing suggestions</w:t>
      </w:r>
      <w:r w:rsidRPr="00BF6148">
        <w:rPr>
          <w:rFonts w:ascii="Aptos" w:eastAsia="Times New Roman" w:hAnsi="Aptos" w:cs="Times New Roman"/>
          <w:color w:val="000000"/>
          <w:kern w:val="0"/>
          <w:lang w:eastAsia="en-GB"/>
          <w14:ligatures w14:val="none"/>
        </w:rPr>
        <w:t xml:space="preserve"> with the appropriate working group.</w:t>
      </w:r>
    </w:p>
    <w:p w14:paraId="30B6AC0A" w14:textId="77777777" w:rsidR="0097177B" w:rsidRDefault="0097177B"/>
    <w:sectPr w:rsidR="009717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E3BBE"/>
    <w:multiLevelType w:val="multilevel"/>
    <w:tmpl w:val="69B4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2546A"/>
    <w:multiLevelType w:val="multilevel"/>
    <w:tmpl w:val="3C0E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B4DC1"/>
    <w:multiLevelType w:val="hybridMultilevel"/>
    <w:tmpl w:val="694E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2F43D2"/>
    <w:multiLevelType w:val="multilevel"/>
    <w:tmpl w:val="3DE86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708584">
    <w:abstractNumId w:val="1"/>
  </w:num>
  <w:num w:numId="2" w16cid:durableId="135027540">
    <w:abstractNumId w:val="0"/>
  </w:num>
  <w:num w:numId="3" w16cid:durableId="1417050997">
    <w:abstractNumId w:val="3"/>
  </w:num>
  <w:num w:numId="4" w16cid:durableId="201594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48"/>
    <w:rsid w:val="00291DCE"/>
    <w:rsid w:val="00355E2A"/>
    <w:rsid w:val="0097177B"/>
    <w:rsid w:val="00BF6148"/>
    <w:rsid w:val="00E7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F03C8"/>
  <w15:chartTrackingRefBased/>
  <w15:docId w15:val="{4A7B8F9E-FDD5-44EF-9E29-FBBDAB05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148"/>
    <w:rPr>
      <w:rFonts w:eastAsiaTheme="majorEastAsia" w:cstheme="majorBidi"/>
      <w:color w:val="272727" w:themeColor="text1" w:themeTint="D8"/>
    </w:rPr>
  </w:style>
  <w:style w:type="paragraph" w:styleId="Title">
    <w:name w:val="Title"/>
    <w:basedOn w:val="Normal"/>
    <w:next w:val="Normal"/>
    <w:link w:val="TitleChar"/>
    <w:uiPriority w:val="10"/>
    <w:qFormat/>
    <w:rsid w:val="00BF6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148"/>
    <w:pPr>
      <w:spacing w:before="160"/>
      <w:jc w:val="center"/>
    </w:pPr>
    <w:rPr>
      <w:i/>
      <w:iCs/>
      <w:color w:val="404040" w:themeColor="text1" w:themeTint="BF"/>
    </w:rPr>
  </w:style>
  <w:style w:type="character" w:customStyle="1" w:styleId="QuoteChar">
    <w:name w:val="Quote Char"/>
    <w:basedOn w:val="DefaultParagraphFont"/>
    <w:link w:val="Quote"/>
    <w:uiPriority w:val="29"/>
    <w:rsid w:val="00BF6148"/>
    <w:rPr>
      <w:i/>
      <w:iCs/>
      <w:color w:val="404040" w:themeColor="text1" w:themeTint="BF"/>
    </w:rPr>
  </w:style>
  <w:style w:type="paragraph" w:styleId="ListParagraph">
    <w:name w:val="List Paragraph"/>
    <w:basedOn w:val="Normal"/>
    <w:uiPriority w:val="34"/>
    <w:qFormat/>
    <w:rsid w:val="00BF6148"/>
    <w:pPr>
      <w:ind w:left="720"/>
      <w:contextualSpacing/>
    </w:pPr>
  </w:style>
  <w:style w:type="character" w:styleId="IntenseEmphasis">
    <w:name w:val="Intense Emphasis"/>
    <w:basedOn w:val="DefaultParagraphFont"/>
    <w:uiPriority w:val="21"/>
    <w:qFormat/>
    <w:rsid w:val="00BF6148"/>
    <w:rPr>
      <w:i/>
      <w:iCs/>
      <w:color w:val="0F4761" w:themeColor="accent1" w:themeShade="BF"/>
    </w:rPr>
  </w:style>
  <w:style w:type="paragraph" w:styleId="IntenseQuote">
    <w:name w:val="Intense Quote"/>
    <w:basedOn w:val="Normal"/>
    <w:next w:val="Normal"/>
    <w:link w:val="IntenseQuoteChar"/>
    <w:uiPriority w:val="30"/>
    <w:qFormat/>
    <w:rsid w:val="00BF6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148"/>
    <w:rPr>
      <w:i/>
      <w:iCs/>
      <w:color w:val="0F4761" w:themeColor="accent1" w:themeShade="BF"/>
    </w:rPr>
  </w:style>
  <w:style w:type="character" w:styleId="IntenseReference">
    <w:name w:val="Intense Reference"/>
    <w:basedOn w:val="DefaultParagraphFont"/>
    <w:uiPriority w:val="32"/>
    <w:qFormat/>
    <w:rsid w:val="00BF6148"/>
    <w:rPr>
      <w:b/>
      <w:bCs/>
      <w:smallCaps/>
      <w:color w:val="0F4761" w:themeColor="accent1" w:themeShade="BF"/>
      <w:spacing w:val="5"/>
    </w:rPr>
  </w:style>
  <w:style w:type="character" w:styleId="Hyperlink">
    <w:name w:val="Hyperlink"/>
    <w:basedOn w:val="DefaultParagraphFont"/>
    <w:uiPriority w:val="99"/>
    <w:semiHidden/>
    <w:unhideWhenUsed/>
    <w:rsid w:val="00BF6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613608">
      <w:bodyDiv w:val="1"/>
      <w:marLeft w:val="0"/>
      <w:marRight w:val="0"/>
      <w:marTop w:val="0"/>
      <w:marBottom w:val="0"/>
      <w:divBdr>
        <w:top w:val="none" w:sz="0" w:space="0" w:color="auto"/>
        <w:left w:val="none" w:sz="0" w:space="0" w:color="auto"/>
        <w:bottom w:val="none" w:sz="0" w:space="0" w:color="auto"/>
        <w:right w:val="none" w:sz="0" w:space="0" w:color="auto"/>
      </w:divBdr>
      <w:divsChild>
        <w:div w:id="9718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ghts.lloyds.com/product/underwritingdevelopmenttriangles-market/overview" TargetMode="External"/><Relationship Id="rId3" Type="http://schemas.openxmlformats.org/officeDocument/2006/relationships/settings" Target="settings.xml"/><Relationship Id="rId7" Type="http://schemas.openxmlformats.org/officeDocument/2006/relationships/hyperlink" Target="https://www.lloyds.com/resources-and-services/capital-and-reserving/future-of-repor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lloyds.com/media/776df364-dd54-4c27-8e2d-ca245643cffd/TPD%20Reserving%20Data%20Transformation%20June%20Briefing%20Final.pdf" TargetMode="External"/><Relationship Id="rId11" Type="http://schemas.openxmlformats.org/officeDocument/2006/relationships/fontTable" Target="fontTable.xml"/><Relationship Id="rId5" Type="http://schemas.openxmlformats.org/officeDocument/2006/relationships/hyperlink" Target="https://insights.lloyds.com/product/underwritingdevelopmenttriangles-market/overview" TargetMode="External"/><Relationship Id="rId10" Type="http://schemas.openxmlformats.org/officeDocument/2006/relationships/hyperlink" Target="mailto:rose.pyke@lmalloyds.com" TargetMode="External"/><Relationship Id="rId4" Type="http://schemas.openxmlformats.org/officeDocument/2006/relationships/webSettings" Target="webSettings.xml"/><Relationship Id="rId9" Type="http://schemas.openxmlformats.org/officeDocument/2006/relationships/hyperlink" Target="https://insights.lloyds.com/product/underwritingdevelopmenttriangles-market/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3691</Characters>
  <Application>Microsoft Office Word</Application>
  <DocSecurity>0</DocSecurity>
  <Lines>76</Lines>
  <Paragraphs>26</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Pyke</dc:creator>
  <cp:keywords/>
  <dc:description/>
  <cp:lastModifiedBy>James Williams</cp:lastModifiedBy>
  <cp:revision>2</cp:revision>
  <dcterms:created xsi:type="dcterms:W3CDTF">2024-06-11T16:35:00Z</dcterms:created>
  <dcterms:modified xsi:type="dcterms:W3CDTF">2024-06-11T16:35:00Z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09d732c23ad8baa9dfcc4dcb3be268a28ffbf7542a7e450d82439c630e95ee4c</vt:lpwstr>
  </property>
</Properties>
</file>