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F4CC" w14:textId="6952C9E0" w:rsidR="0029177B" w:rsidRPr="00D57CA8" w:rsidRDefault="0029177B" w:rsidP="0029177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7CA8">
        <w:rPr>
          <w:rFonts w:ascii="Arial" w:hAnsi="Arial" w:cs="Arial"/>
          <w:b/>
          <w:bCs/>
          <w:sz w:val="24"/>
          <w:szCs w:val="24"/>
          <w:u w:val="single"/>
        </w:rPr>
        <w:t>Notice to Members: Intention to archive (</w:t>
      </w:r>
      <w:r w:rsidR="00832C29">
        <w:rPr>
          <w:rFonts w:ascii="Arial" w:hAnsi="Arial" w:cs="Arial"/>
          <w:b/>
          <w:bCs/>
          <w:sz w:val="24"/>
          <w:szCs w:val="24"/>
          <w:u w:val="single"/>
        </w:rPr>
        <w:t>marine</w:t>
      </w:r>
      <w:r w:rsidRPr="00D57CA8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D85890" w:rsidRPr="00D57CA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85C07">
        <w:rPr>
          <w:rFonts w:ascii="Arial" w:hAnsi="Arial" w:cs="Arial"/>
          <w:b/>
          <w:bCs/>
          <w:sz w:val="24"/>
          <w:szCs w:val="24"/>
          <w:u w:val="single"/>
        </w:rPr>
        <w:t>on</w:t>
      </w:r>
      <w:r w:rsidR="00D85890" w:rsidRPr="00D57CA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44E4D">
        <w:rPr>
          <w:rFonts w:ascii="Arial" w:hAnsi="Arial" w:cs="Arial"/>
          <w:b/>
          <w:bCs/>
          <w:sz w:val="24"/>
          <w:szCs w:val="24"/>
          <w:u w:val="single"/>
        </w:rPr>
        <w:t>19 May 2026</w:t>
      </w:r>
    </w:p>
    <w:p w14:paraId="561C3983" w14:textId="3B60DA0C" w:rsidR="00D57CA8" w:rsidRDefault="0029177B" w:rsidP="00D57CA8">
      <w:pPr>
        <w:spacing w:before="24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E00EE">
        <w:rPr>
          <w:rFonts w:ascii="Arial" w:hAnsi="Arial" w:cs="Arial"/>
          <w:i/>
          <w:iCs/>
          <w:sz w:val="20"/>
          <w:szCs w:val="20"/>
        </w:rPr>
        <w:t xml:space="preserve">To </w:t>
      </w:r>
      <w:r w:rsidR="00D53339" w:rsidRPr="002E00EE">
        <w:rPr>
          <w:rFonts w:ascii="Arial" w:hAnsi="Arial" w:cs="Arial"/>
          <w:i/>
          <w:iCs/>
          <w:sz w:val="20"/>
          <w:szCs w:val="20"/>
        </w:rPr>
        <w:t>full LMA members</w:t>
      </w:r>
      <w:r w:rsidRPr="002E00EE">
        <w:rPr>
          <w:rFonts w:ascii="Arial" w:hAnsi="Arial" w:cs="Arial"/>
          <w:i/>
          <w:iCs/>
          <w:sz w:val="20"/>
          <w:szCs w:val="20"/>
        </w:rPr>
        <w:t xml:space="preserve"> with an interest in </w:t>
      </w:r>
      <w:r w:rsidR="00832C29">
        <w:rPr>
          <w:rFonts w:ascii="Arial" w:hAnsi="Arial" w:cs="Arial"/>
          <w:i/>
          <w:iCs/>
          <w:sz w:val="20"/>
          <w:szCs w:val="20"/>
        </w:rPr>
        <w:t>M</w:t>
      </w:r>
      <w:r w:rsidR="00B44E4D">
        <w:rPr>
          <w:rFonts w:ascii="Arial" w:hAnsi="Arial" w:cs="Arial"/>
          <w:i/>
          <w:iCs/>
          <w:sz w:val="20"/>
          <w:szCs w:val="20"/>
        </w:rPr>
        <w:t>arine</w:t>
      </w:r>
      <w:r w:rsidR="00893324">
        <w:rPr>
          <w:rFonts w:ascii="Arial" w:hAnsi="Arial" w:cs="Arial"/>
          <w:i/>
          <w:iCs/>
          <w:sz w:val="20"/>
          <w:szCs w:val="20"/>
        </w:rPr>
        <w:t>.</w:t>
      </w:r>
    </w:p>
    <w:p w14:paraId="3C1DE2AD" w14:textId="0EA27D11" w:rsidR="003122E3" w:rsidRPr="00D265D2" w:rsidRDefault="00D265D2" w:rsidP="0029177B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Project Spring Clean</w:t>
      </w:r>
    </w:p>
    <w:p w14:paraId="38993B9D" w14:textId="46B2FFA8" w:rsidR="00AA0CC9" w:rsidRPr="00AB2842" w:rsidRDefault="005E4BC2" w:rsidP="0029177B">
      <w:pPr>
        <w:spacing w:line="240" w:lineRule="auto"/>
        <w:rPr>
          <w:rFonts w:ascii="Arial" w:hAnsi="Arial" w:cs="Arial"/>
          <w:sz w:val="20"/>
          <w:szCs w:val="20"/>
        </w:rPr>
      </w:pPr>
      <w:r w:rsidRPr="00AB2842">
        <w:rPr>
          <w:rFonts w:ascii="Arial" w:hAnsi="Arial" w:cs="Arial"/>
          <w:sz w:val="20"/>
          <w:szCs w:val="20"/>
        </w:rPr>
        <w:t xml:space="preserve">During </w:t>
      </w:r>
      <w:r w:rsidRPr="00832C29">
        <w:rPr>
          <w:rFonts w:ascii="Arial" w:hAnsi="Arial" w:cs="Arial"/>
          <w:sz w:val="20"/>
          <w:szCs w:val="20"/>
        </w:rPr>
        <w:t>2025</w:t>
      </w:r>
      <w:r w:rsidR="005C5B03">
        <w:rPr>
          <w:rFonts w:ascii="Arial" w:hAnsi="Arial" w:cs="Arial"/>
          <w:sz w:val="20"/>
          <w:szCs w:val="20"/>
        </w:rPr>
        <w:t>/26</w:t>
      </w:r>
      <w:r w:rsidR="00AF5F7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A6E15">
        <w:rPr>
          <w:rFonts w:ascii="Arial" w:hAnsi="Arial" w:cs="Arial"/>
          <w:sz w:val="20"/>
          <w:szCs w:val="20"/>
        </w:rPr>
        <w:t>the LMA</w:t>
      </w:r>
      <w:r>
        <w:rPr>
          <w:rFonts w:ascii="Arial" w:hAnsi="Arial" w:cs="Arial"/>
          <w:sz w:val="20"/>
          <w:szCs w:val="20"/>
        </w:rPr>
        <w:t xml:space="preserve"> </w:t>
      </w:r>
      <w:r w:rsidR="00AF5F78">
        <w:rPr>
          <w:rFonts w:ascii="Arial" w:hAnsi="Arial" w:cs="Arial"/>
          <w:sz w:val="20"/>
          <w:szCs w:val="20"/>
        </w:rPr>
        <w:t>delivered</w:t>
      </w:r>
      <w:r>
        <w:rPr>
          <w:rFonts w:ascii="Arial" w:hAnsi="Arial" w:cs="Arial"/>
          <w:sz w:val="20"/>
          <w:szCs w:val="20"/>
        </w:rPr>
        <w:t xml:space="preserve"> Phase 1 of Project Spring Clean</w:t>
      </w:r>
      <w:r w:rsidR="003122E3">
        <w:rPr>
          <w:rFonts w:ascii="Arial" w:hAnsi="Arial" w:cs="Arial"/>
          <w:sz w:val="20"/>
          <w:szCs w:val="20"/>
        </w:rPr>
        <w:t xml:space="preserve">, </w:t>
      </w:r>
      <w:r w:rsidR="0029177B" w:rsidRPr="00AB2842">
        <w:rPr>
          <w:rFonts w:ascii="Arial" w:hAnsi="Arial" w:cs="Arial"/>
          <w:sz w:val="20"/>
          <w:szCs w:val="20"/>
        </w:rPr>
        <w:t>a</w:t>
      </w:r>
      <w:r w:rsidR="007A6E15">
        <w:rPr>
          <w:rFonts w:ascii="Arial" w:hAnsi="Arial" w:cs="Arial"/>
          <w:sz w:val="20"/>
          <w:szCs w:val="20"/>
        </w:rPr>
        <w:t xml:space="preserve">n </w:t>
      </w:r>
      <w:r w:rsidR="0029177B" w:rsidRPr="00AB2842">
        <w:rPr>
          <w:rFonts w:ascii="Arial" w:hAnsi="Arial" w:cs="Arial"/>
          <w:sz w:val="20"/>
          <w:szCs w:val="20"/>
        </w:rPr>
        <w:t xml:space="preserve">initiative to assess older </w:t>
      </w:r>
      <w:r w:rsidR="00944232">
        <w:rPr>
          <w:rFonts w:ascii="Arial" w:hAnsi="Arial" w:cs="Arial"/>
          <w:sz w:val="20"/>
          <w:szCs w:val="20"/>
        </w:rPr>
        <w:t xml:space="preserve">model </w:t>
      </w:r>
      <w:r w:rsidR="0029177B" w:rsidRPr="00AB2842">
        <w:rPr>
          <w:rFonts w:ascii="Arial" w:hAnsi="Arial" w:cs="Arial"/>
          <w:sz w:val="20"/>
          <w:szCs w:val="20"/>
        </w:rPr>
        <w:t>wordings</w:t>
      </w:r>
      <w:r w:rsidR="00AA7811">
        <w:rPr>
          <w:rFonts w:ascii="Arial" w:hAnsi="Arial" w:cs="Arial"/>
          <w:sz w:val="20"/>
          <w:szCs w:val="20"/>
        </w:rPr>
        <w:t xml:space="preserve"> and clauses</w:t>
      </w:r>
      <w:r w:rsidR="00E76F30">
        <w:rPr>
          <w:rFonts w:ascii="Arial" w:hAnsi="Arial" w:cs="Arial"/>
          <w:sz w:val="20"/>
          <w:szCs w:val="20"/>
        </w:rPr>
        <w:t xml:space="preserve"> (“wordings”)</w:t>
      </w:r>
      <w:r w:rsidR="0029177B" w:rsidRPr="00AB2842">
        <w:rPr>
          <w:rFonts w:ascii="Arial" w:hAnsi="Arial" w:cs="Arial"/>
          <w:sz w:val="20"/>
          <w:szCs w:val="20"/>
        </w:rPr>
        <w:t xml:space="preserve"> </w:t>
      </w:r>
      <w:r w:rsidR="00AF5F78">
        <w:rPr>
          <w:rFonts w:ascii="Arial" w:hAnsi="Arial" w:cs="Arial"/>
          <w:sz w:val="20"/>
          <w:szCs w:val="20"/>
        </w:rPr>
        <w:t>with</w:t>
      </w:r>
      <w:r w:rsidR="00AA0CC9" w:rsidRPr="00AB2842">
        <w:rPr>
          <w:rFonts w:ascii="Arial" w:hAnsi="Arial" w:cs="Arial"/>
          <w:sz w:val="20"/>
          <w:szCs w:val="20"/>
        </w:rPr>
        <w:t xml:space="preserve">in the Core section of </w:t>
      </w:r>
      <w:r w:rsidR="0029177B" w:rsidRPr="00AB2842">
        <w:rPr>
          <w:rFonts w:ascii="Arial" w:hAnsi="Arial" w:cs="Arial"/>
          <w:sz w:val="20"/>
          <w:szCs w:val="20"/>
        </w:rPr>
        <w:t>the L</w:t>
      </w:r>
      <w:r w:rsidR="00AA0CC9" w:rsidRPr="00AB2842">
        <w:rPr>
          <w:rFonts w:ascii="Arial" w:hAnsi="Arial" w:cs="Arial"/>
          <w:sz w:val="20"/>
          <w:szCs w:val="20"/>
        </w:rPr>
        <w:t>loyd’s Wordings Repository (L</w:t>
      </w:r>
      <w:r w:rsidR="0029177B" w:rsidRPr="00AB2842">
        <w:rPr>
          <w:rFonts w:ascii="Arial" w:hAnsi="Arial" w:cs="Arial"/>
          <w:sz w:val="20"/>
          <w:szCs w:val="20"/>
        </w:rPr>
        <w:t>WR</w:t>
      </w:r>
      <w:r w:rsidR="00AA0CC9" w:rsidRPr="00AB2842">
        <w:rPr>
          <w:rFonts w:ascii="Arial" w:hAnsi="Arial" w:cs="Arial"/>
          <w:sz w:val="20"/>
          <w:szCs w:val="20"/>
        </w:rPr>
        <w:t>)</w:t>
      </w:r>
      <w:r w:rsidR="0029177B" w:rsidRPr="00AB2842">
        <w:rPr>
          <w:rFonts w:ascii="Arial" w:hAnsi="Arial" w:cs="Arial"/>
          <w:sz w:val="20"/>
          <w:szCs w:val="20"/>
        </w:rPr>
        <w:t xml:space="preserve">. </w:t>
      </w:r>
    </w:p>
    <w:p w14:paraId="4CF56B08" w14:textId="4889FEDC" w:rsidR="002E4043" w:rsidRDefault="00AF5F78" w:rsidP="0029177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29177B" w:rsidRPr="00AB2842">
        <w:rPr>
          <w:rFonts w:ascii="Arial" w:hAnsi="Arial" w:cs="Arial"/>
          <w:sz w:val="20"/>
          <w:szCs w:val="20"/>
        </w:rPr>
        <w:t>ork</w:t>
      </w:r>
      <w:r>
        <w:rPr>
          <w:rFonts w:ascii="Arial" w:hAnsi="Arial" w:cs="Arial"/>
          <w:sz w:val="20"/>
          <w:szCs w:val="20"/>
        </w:rPr>
        <w:t>ing</w:t>
      </w:r>
      <w:r w:rsidR="0029177B" w:rsidRPr="00AB2842">
        <w:rPr>
          <w:rFonts w:ascii="Arial" w:hAnsi="Arial" w:cs="Arial"/>
          <w:sz w:val="20"/>
          <w:szCs w:val="20"/>
        </w:rPr>
        <w:t xml:space="preserve"> with Underwriting Committees</w:t>
      </w:r>
      <w:r>
        <w:rPr>
          <w:rFonts w:ascii="Arial" w:hAnsi="Arial" w:cs="Arial"/>
          <w:sz w:val="20"/>
          <w:szCs w:val="20"/>
        </w:rPr>
        <w:t>, each wording within scope was assessed</w:t>
      </w:r>
      <w:r w:rsidR="00CC6829">
        <w:rPr>
          <w:rFonts w:ascii="Arial" w:hAnsi="Arial" w:cs="Arial"/>
          <w:sz w:val="20"/>
          <w:szCs w:val="20"/>
        </w:rPr>
        <w:t xml:space="preserve"> and assigned one of the following outcomes: </w:t>
      </w:r>
    </w:p>
    <w:p w14:paraId="6E863607" w14:textId="710307E0" w:rsidR="00537212" w:rsidRDefault="002E4043" w:rsidP="0029177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 –</w:t>
      </w:r>
      <w:r w:rsidR="005372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wording </w:t>
      </w:r>
      <w:r w:rsidR="00537212">
        <w:rPr>
          <w:rFonts w:ascii="Arial" w:hAnsi="Arial" w:cs="Arial"/>
          <w:sz w:val="20"/>
          <w:szCs w:val="20"/>
        </w:rPr>
        <w:t>is in use</w:t>
      </w:r>
      <w:r w:rsidR="005D70FB">
        <w:rPr>
          <w:rFonts w:ascii="Arial" w:hAnsi="Arial" w:cs="Arial"/>
          <w:sz w:val="20"/>
          <w:szCs w:val="20"/>
        </w:rPr>
        <w:t xml:space="preserve">, retain status ‘active’ </w:t>
      </w:r>
    </w:p>
    <w:p w14:paraId="7D1ADC47" w14:textId="00528DC8" w:rsidR="00537212" w:rsidRDefault="00537212" w:rsidP="0029177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Archive – wording is </w:t>
      </w:r>
      <w:r w:rsidR="00D0292E">
        <w:rPr>
          <w:rFonts w:ascii="Arial" w:hAnsi="Arial" w:cs="Arial"/>
          <w:sz w:val="20"/>
          <w:szCs w:val="20"/>
        </w:rPr>
        <w:t>no longer in use (</w:t>
      </w:r>
      <w:r>
        <w:rPr>
          <w:rFonts w:ascii="Arial" w:hAnsi="Arial" w:cs="Arial"/>
          <w:sz w:val="20"/>
          <w:szCs w:val="20"/>
        </w:rPr>
        <w:t>obsolete</w:t>
      </w:r>
      <w:r w:rsidR="00D0292E">
        <w:rPr>
          <w:rFonts w:ascii="Arial" w:hAnsi="Arial" w:cs="Arial"/>
          <w:sz w:val="20"/>
          <w:szCs w:val="20"/>
        </w:rPr>
        <w:t xml:space="preserve">) or </w:t>
      </w:r>
      <w:r w:rsidR="00BF748B">
        <w:rPr>
          <w:rFonts w:ascii="Arial" w:hAnsi="Arial" w:cs="Arial"/>
          <w:sz w:val="20"/>
          <w:szCs w:val="20"/>
        </w:rPr>
        <w:t xml:space="preserve">has been </w:t>
      </w:r>
      <w:r>
        <w:rPr>
          <w:rFonts w:ascii="Arial" w:hAnsi="Arial" w:cs="Arial"/>
          <w:sz w:val="20"/>
          <w:szCs w:val="20"/>
        </w:rPr>
        <w:t>superseded</w:t>
      </w:r>
      <w:r w:rsidR="009132A5">
        <w:rPr>
          <w:rFonts w:ascii="Arial" w:hAnsi="Arial" w:cs="Arial"/>
          <w:sz w:val="20"/>
          <w:szCs w:val="20"/>
        </w:rPr>
        <w:t xml:space="preserve"> and</w:t>
      </w:r>
      <w:r w:rsidR="00A55AF8">
        <w:rPr>
          <w:rFonts w:ascii="Arial" w:hAnsi="Arial" w:cs="Arial"/>
          <w:sz w:val="20"/>
          <w:szCs w:val="20"/>
        </w:rPr>
        <w:t xml:space="preserve"> can be archived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A02A27" w14:textId="10FA7B50" w:rsidR="008501A9" w:rsidRDefault="00537212" w:rsidP="0029177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Update – wording </w:t>
      </w:r>
      <w:r w:rsidR="008501A9">
        <w:rPr>
          <w:rFonts w:ascii="Arial" w:hAnsi="Arial" w:cs="Arial"/>
          <w:sz w:val="20"/>
          <w:szCs w:val="20"/>
        </w:rPr>
        <w:t xml:space="preserve">would benefit from </w:t>
      </w:r>
      <w:r w:rsidR="00E84509">
        <w:rPr>
          <w:rFonts w:ascii="Arial" w:hAnsi="Arial" w:cs="Arial"/>
          <w:sz w:val="20"/>
          <w:szCs w:val="20"/>
        </w:rPr>
        <w:t>review</w:t>
      </w:r>
      <w:r w:rsidR="008501A9">
        <w:rPr>
          <w:rFonts w:ascii="Arial" w:hAnsi="Arial" w:cs="Arial"/>
          <w:sz w:val="20"/>
          <w:szCs w:val="20"/>
        </w:rPr>
        <w:t xml:space="preserve"> and potential update in Phase 2</w:t>
      </w:r>
    </w:p>
    <w:p w14:paraId="084DC46F" w14:textId="75D836C4" w:rsidR="008501A9" w:rsidRDefault="008501A9" w:rsidP="0029177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Withdraw – wording is not fit for purpose or is faulty</w:t>
      </w:r>
      <w:r w:rsidR="009132A5">
        <w:rPr>
          <w:rFonts w:ascii="Arial" w:hAnsi="Arial" w:cs="Arial"/>
          <w:sz w:val="20"/>
          <w:szCs w:val="20"/>
        </w:rPr>
        <w:t xml:space="preserve"> and should be</w:t>
      </w:r>
      <w:r w:rsidR="00F4019F">
        <w:rPr>
          <w:rFonts w:ascii="Arial" w:hAnsi="Arial" w:cs="Arial"/>
          <w:sz w:val="20"/>
          <w:szCs w:val="20"/>
        </w:rPr>
        <w:t xml:space="preserve"> withdraw</w:t>
      </w:r>
      <w:r w:rsidR="009132A5">
        <w:rPr>
          <w:rFonts w:ascii="Arial" w:hAnsi="Arial" w:cs="Arial"/>
          <w:sz w:val="20"/>
          <w:szCs w:val="20"/>
        </w:rPr>
        <w:t>n</w:t>
      </w:r>
    </w:p>
    <w:p w14:paraId="42CE1B1E" w14:textId="4EBCE0CA" w:rsidR="00DF7AB1" w:rsidRDefault="009132A5" w:rsidP="00FE135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F7AB1" w:rsidRPr="002817BC">
        <w:rPr>
          <w:rFonts w:ascii="Arial" w:hAnsi="Arial" w:cs="Arial"/>
          <w:sz w:val="20"/>
          <w:szCs w:val="20"/>
        </w:rPr>
        <w:t xml:space="preserve">rchived </w:t>
      </w:r>
      <w:r w:rsidR="00BA5D28" w:rsidRPr="002817BC">
        <w:rPr>
          <w:rFonts w:ascii="Arial" w:hAnsi="Arial" w:cs="Arial"/>
          <w:sz w:val="20"/>
          <w:szCs w:val="20"/>
        </w:rPr>
        <w:t xml:space="preserve">or withdrawn </w:t>
      </w:r>
      <w:r w:rsidR="00DF7AB1" w:rsidRPr="002817BC">
        <w:rPr>
          <w:rFonts w:ascii="Arial" w:hAnsi="Arial" w:cs="Arial"/>
          <w:sz w:val="20"/>
          <w:szCs w:val="20"/>
        </w:rPr>
        <w:t>wordings are not deleted</w:t>
      </w:r>
      <w:r>
        <w:rPr>
          <w:rFonts w:ascii="Arial" w:hAnsi="Arial" w:cs="Arial"/>
          <w:sz w:val="20"/>
          <w:szCs w:val="20"/>
        </w:rPr>
        <w:t>. T</w:t>
      </w:r>
      <w:r w:rsidR="00DF7AB1" w:rsidRPr="002817BC">
        <w:rPr>
          <w:rFonts w:ascii="Arial" w:hAnsi="Arial" w:cs="Arial"/>
          <w:sz w:val="20"/>
          <w:szCs w:val="20"/>
        </w:rPr>
        <w:t xml:space="preserve">hey </w:t>
      </w:r>
      <w:r w:rsidR="00FE1354">
        <w:rPr>
          <w:rFonts w:ascii="Arial" w:hAnsi="Arial" w:cs="Arial"/>
          <w:sz w:val="20"/>
          <w:szCs w:val="20"/>
        </w:rPr>
        <w:t>remain</w:t>
      </w:r>
      <w:r w:rsidR="00DF7AB1" w:rsidRPr="002817BC">
        <w:rPr>
          <w:rFonts w:ascii="Arial" w:hAnsi="Arial" w:cs="Arial"/>
          <w:sz w:val="20"/>
          <w:szCs w:val="20"/>
        </w:rPr>
        <w:t xml:space="preserve"> accessible </w:t>
      </w:r>
      <w:r>
        <w:rPr>
          <w:rFonts w:ascii="Arial" w:hAnsi="Arial" w:cs="Arial"/>
          <w:sz w:val="20"/>
          <w:szCs w:val="20"/>
        </w:rPr>
        <w:t>on the LWR and may be used</w:t>
      </w:r>
      <w:r w:rsidR="006F2C53">
        <w:rPr>
          <w:rFonts w:ascii="Arial" w:hAnsi="Arial" w:cs="Arial"/>
          <w:sz w:val="20"/>
          <w:szCs w:val="20"/>
        </w:rPr>
        <w:t xml:space="preserve">, but they are no longer </w:t>
      </w:r>
      <w:r w:rsidR="00DF7AB1" w:rsidRPr="002817BC">
        <w:rPr>
          <w:rFonts w:ascii="Arial" w:hAnsi="Arial" w:cs="Arial"/>
          <w:sz w:val="20"/>
          <w:szCs w:val="20"/>
        </w:rPr>
        <w:t>actively maintained by the LMA.</w:t>
      </w:r>
    </w:p>
    <w:p w14:paraId="6CA8F2F7" w14:textId="77777777" w:rsidR="00FE1354" w:rsidRPr="002817BC" w:rsidRDefault="00FE1354" w:rsidP="00FE13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F33825" w14:textId="52CD8B7C" w:rsidR="00DF7AB1" w:rsidRPr="00AB2842" w:rsidRDefault="006F2C53" w:rsidP="00DF7AB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F7AB1" w:rsidRPr="00AB2842">
        <w:rPr>
          <w:rFonts w:ascii="Arial" w:hAnsi="Arial" w:cs="Arial"/>
          <w:sz w:val="20"/>
          <w:szCs w:val="20"/>
        </w:rPr>
        <w:t>nderwriter</w:t>
      </w:r>
      <w:r>
        <w:rPr>
          <w:rFonts w:ascii="Arial" w:hAnsi="Arial" w:cs="Arial"/>
          <w:sz w:val="20"/>
          <w:szCs w:val="20"/>
        </w:rPr>
        <w:t>s</w:t>
      </w:r>
      <w:r w:rsidR="00DF7AB1" w:rsidRPr="00AB28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remain responsible for determining</w:t>
      </w:r>
      <w:r w:rsidR="004B5DB8">
        <w:rPr>
          <w:rFonts w:ascii="Arial" w:hAnsi="Arial" w:cs="Arial"/>
          <w:sz w:val="20"/>
          <w:szCs w:val="20"/>
        </w:rPr>
        <w:t xml:space="preserve"> </w:t>
      </w:r>
      <w:r w:rsidR="00DF7AB1" w:rsidRPr="00AB2842">
        <w:rPr>
          <w:rFonts w:ascii="Arial" w:hAnsi="Arial" w:cs="Arial"/>
          <w:sz w:val="20"/>
          <w:szCs w:val="20"/>
        </w:rPr>
        <w:t>whether a</w:t>
      </w:r>
      <w:r w:rsidR="004B5DB8">
        <w:rPr>
          <w:rFonts w:ascii="Arial" w:hAnsi="Arial" w:cs="Arial"/>
          <w:sz w:val="20"/>
          <w:szCs w:val="20"/>
        </w:rPr>
        <w:t>ny</w:t>
      </w:r>
      <w:r w:rsidR="00DF7AB1" w:rsidRPr="00AB2842">
        <w:rPr>
          <w:rFonts w:ascii="Arial" w:hAnsi="Arial" w:cs="Arial"/>
          <w:sz w:val="20"/>
          <w:szCs w:val="20"/>
        </w:rPr>
        <w:t xml:space="preserve"> wording is suitable for a</w:t>
      </w:r>
      <w:r w:rsidR="004B5DB8">
        <w:rPr>
          <w:rFonts w:ascii="Arial" w:hAnsi="Arial" w:cs="Arial"/>
          <w:sz w:val="20"/>
          <w:szCs w:val="20"/>
        </w:rPr>
        <w:t xml:space="preserve"> particular</w:t>
      </w:r>
      <w:r w:rsidR="00DF7AB1" w:rsidRPr="00AB2842">
        <w:rPr>
          <w:rFonts w:ascii="Arial" w:hAnsi="Arial" w:cs="Arial"/>
          <w:sz w:val="20"/>
          <w:szCs w:val="20"/>
        </w:rPr>
        <w:t xml:space="preserve"> risk.</w:t>
      </w:r>
    </w:p>
    <w:p w14:paraId="48BDD302" w14:textId="4BC4081A" w:rsidR="00DF7AB1" w:rsidRDefault="00DF7AB1" w:rsidP="00DF7AB1">
      <w:pPr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4B5DB8">
        <w:rPr>
          <w:rFonts w:ascii="Arial" w:hAnsi="Arial" w:cs="Arial"/>
          <w:sz w:val="20"/>
          <w:szCs w:val="20"/>
        </w:rPr>
        <w:t xml:space="preserve">urther </w:t>
      </w:r>
      <w:r w:rsidR="00712B8C">
        <w:rPr>
          <w:rFonts w:ascii="Arial" w:hAnsi="Arial" w:cs="Arial"/>
          <w:sz w:val="20"/>
          <w:szCs w:val="20"/>
        </w:rPr>
        <w:t xml:space="preserve">information </w:t>
      </w:r>
      <w:r>
        <w:rPr>
          <w:rFonts w:ascii="Arial" w:hAnsi="Arial" w:cs="Arial"/>
          <w:sz w:val="20"/>
          <w:szCs w:val="20"/>
        </w:rPr>
        <w:t>around wording</w:t>
      </w:r>
      <w:r w:rsidR="00712B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status</w:t>
      </w:r>
      <w:r w:rsidR="00712B8C">
        <w:rPr>
          <w:rFonts w:ascii="Arial" w:hAnsi="Arial" w:cs="Arial"/>
          <w:sz w:val="20"/>
          <w:szCs w:val="20"/>
        </w:rPr>
        <w:t xml:space="preserve">es is available in the LMA guidance: </w:t>
      </w:r>
      <w:hyperlink r:id="rId8" w:history="1">
        <w:r w:rsidRPr="00135ECC">
          <w:rPr>
            <w:rStyle w:val="Hyperlink"/>
            <w:rFonts w:ascii="Arial" w:hAnsi="Arial" w:cs="Arial"/>
            <w:sz w:val="20"/>
            <w:szCs w:val="20"/>
          </w:rPr>
          <w:t>LMA - LMA Archiving and Withdrawal Process for Wordings/Clauses on the LWR</w:t>
        </w:r>
      </w:hyperlink>
    </w:p>
    <w:p w14:paraId="350D1F1E" w14:textId="68DC12A7" w:rsidR="00D265D2" w:rsidRPr="00D265D2" w:rsidRDefault="00577853" w:rsidP="0029177B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Intention to archive (</w:t>
      </w:r>
      <w:r w:rsidR="00B44E4D">
        <w:rPr>
          <w:rFonts w:ascii="Arial" w:hAnsi="Arial" w:cs="Arial"/>
          <w:b/>
          <w:bCs/>
          <w:sz w:val="20"/>
          <w:szCs w:val="20"/>
          <w:u w:val="single"/>
        </w:rPr>
        <w:t>Marine</w:t>
      </w:r>
      <w:r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="00B44E4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E9286B">
        <w:rPr>
          <w:rFonts w:ascii="Arial" w:hAnsi="Arial" w:cs="Arial"/>
          <w:b/>
          <w:bCs/>
          <w:sz w:val="20"/>
          <w:szCs w:val="20"/>
          <w:u w:val="single"/>
        </w:rPr>
        <w:t>05</w:t>
      </w:r>
      <w:r w:rsidR="00B44E4D">
        <w:rPr>
          <w:rFonts w:ascii="Arial" w:hAnsi="Arial" w:cs="Arial"/>
          <w:b/>
          <w:bCs/>
          <w:sz w:val="20"/>
          <w:szCs w:val="20"/>
          <w:u w:val="single"/>
        </w:rPr>
        <w:t xml:space="preserve"> May 2026</w:t>
      </w:r>
    </w:p>
    <w:p w14:paraId="0F2C01BD" w14:textId="359D0481" w:rsidR="00DC352E" w:rsidRDefault="00DC352E" w:rsidP="0029177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Notice </w:t>
      </w:r>
      <w:r w:rsidR="00FE14AB">
        <w:rPr>
          <w:rFonts w:ascii="Arial" w:hAnsi="Arial" w:cs="Arial"/>
          <w:sz w:val="20"/>
          <w:szCs w:val="20"/>
        </w:rPr>
        <w:t>outlines the p</w:t>
      </w:r>
      <w:r w:rsidR="00E9286B">
        <w:rPr>
          <w:rFonts w:ascii="Arial" w:hAnsi="Arial" w:cs="Arial"/>
          <w:sz w:val="20"/>
          <w:szCs w:val="20"/>
        </w:rPr>
        <w:t>lanned archiving of</w:t>
      </w:r>
      <w:r w:rsidR="00FE14AB">
        <w:rPr>
          <w:rFonts w:ascii="Arial" w:hAnsi="Arial" w:cs="Arial"/>
          <w:sz w:val="20"/>
          <w:szCs w:val="20"/>
        </w:rPr>
        <w:t xml:space="preserve"> certain</w:t>
      </w:r>
      <w:r w:rsidR="000E7C35">
        <w:rPr>
          <w:rFonts w:ascii="Arial" w:hAnsi="Arial" w:cs="Arial"/>
          <w:sz w:val="20"/>
          <w:szCs w:val="20"/>
        </w:rPr>
        <w:t xml:space="preserve"> </w:t>
      </w:r>
      <w:r w:rsidR="00674929" w:rsidRPr="00674929">
        <w:rPr>
          <w:rFonts w:ascii="Arial" w:hAnsi="Arial" w:cs="Arial"/>
          <w:b/>
          <w:bCs/>
          <w:sz w:val="20"/>
          <w:szCs w:val="20"/>
        </w:rPr>
        <w:t>Marine</w:t>
      </w:r>
      <w:r w:rsidR="009A4171">
        <w:rPr>
          <w:rFonts w:ascii="Arial" w:hAnsi="Arial" w:cs="Arial"/>
          <w:sz w:val="20"/>
          <w:szCs w:val="20"/>
        </w:rPr>
        <w:t xml:space="preserve"> </w:t>
      </w:r>
      <w:r w:rsidR="000E7C35" w:rsidRPr="000E7C35">
        <w:rPr>
          <w:rFonts w:ascii="Arial" w:hAnsi="Arial" w:cs="Arial"/>
          <w:sz w:val="20"/>
          <w:szCs w:val="20"/>
        </w:rPr>
        <w:t>wording</w:t>
      </w:r>
      <w:r w:rsidR="009D2AB4">
        <w:rPr>
          <w:rFonts w:ascii="Arial" w:hAnsi="Arial" w:cs="Arial"/>
          <w:sz w:val="20"/>
          <w:szCs w:val="20"/>
        </w:rPr>
        <w:t>s</w:t>
      </w:r>
      <w:r w:rsidR="0047635A">
        <w:rPr>
          <w:rFonts w:ascii="Arial" w:hAnsi="Arial" w:cs="Arial"/>
          <w:sz w:val="20"/>
          <w:szCs w:val="20"/>
        </w:rPr>
        <w:t xml:space="preserve">. </w:t>
      </w:r>
    </w:p>
    <w:p w14:paraId="51536B9A" w14:textId="0FA857A7" w:rsidR="0047635A" w:rsidRDefault="0047635A" w:rsidP="0029177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following </w:t>
      </w:r>
      <w:r w:rsidR="008A6F34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arine classes, no wordings </w:t>
      </w:r>
      <w:r w:rsidR="00FE14AB">
        <w:rPr>
          <w:rFonts w:ascii="Arial" w:hAnsi="Arial" w:cs="Arial"/>
          <w:sz w:val="20"/>
          <w:szCs w:val="20"/>
        </w:rPr>
        <w:t>have been</w:t>
      </w:r>
      <w:r>
        <w:rPr>
          <w:rFonts w:ascii="Arial" w:hAnsi="Arial" w:cs="Arial"/>
          <w:sz w:val="20"/>
          <w:szCs w:val="20"/>
        </w:rPr>
        <w:t xml:space="preserve"> identified </w:t>
      </w:r>
      <w:r w:rsidR="00FE14AB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archiv</w:t>
      </w:r>
      <w:r w:rsidR="00FE14AB">
        <w:rPr>
          <w:rFonts w:ascii="Arial" w:hAnsi="Arial" w:cs="Arial"/>
          <w:sz w:val="20"/>
          <w:szCs w:val="20"/>
        </w:rPr>
        <w:t>ing</w:t>
      </w:r>
      <w:r w:rsidR="00721017">
        <w:rPr>
          <w:rFonts w:ascii="Arial" w:hAnsi="Arial" w:cs="Arial"/>
          <w:sz w:val="20"/>
          <w:szCs w:val="20"/>
        </w:rPr>
        <w:t>:</w:t>
      </w:r>
    </w:p>
    <w:p w14:paraId="120B6BC4" w14:textId="525F511B" w:rsidR="00BF4869" w:rsidRPr="0047635A" w:rsidRDefault="004D7290" w:rsidP="00CD5D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7635A">
        <w:rPr>
          <w:rFonts w:ascii="Arial" w:hAnsi="Arial" w:cs="Arial"/>
          <w:sz w:val="20"/>
          <w:szCs w:val="20"/>
        </w:rPr>
        <w:t>Cargo</w:t>
      </w:r>
    </w:p>
    <w:p w14:paraId="6CB99E2C" w14:textId="43B2305A" w:rsidR="004D7290" w:rsidRPr="0047635A" w:rsidRDefault="004D7290" w:rsidP="00CD5D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7635A">
        <w:rPr>
          <w:rFonts w:ascii="Arial" w:hAnsi="Arial" w:cs="Arial"/>
          <w:sz w:val="20"/>
          <w:szCs w:val="20"/>
        </w:rPr>
        <w:t>Marine Hull</w:t>
      </w:r>
    </w:p>
    <w:p w14:paraId="62359746" w14:textId="0001AB52" w:rsidR="004D7290" w:rsidRPr="0047635A" w:rsidRDefault="004D7290" w:rsidP="00CD5D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7635A">
        <w:rPr>
          <w:rFonts w:ascii="Arial" w:hAnsi="Arial" w:cs="Arial"/>
          <w:sz w:val="20"/>
          <w:szCs w:val="20"/>
        </w:rPr>
        <w:t>Marine Liability</w:t>
      </w:r>
    </w:p>
    <w:p w14:paraId="50B358F8" w14:textId="56392B8C" w:rsidR="004D7290" w:rsidRPr="0047635A" w:rsidRDefault="004D7290" w:rsidP="00CD5D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7635A">
        <w:rPr>
          <w:rFonts w:ascii="Arial" w:hAnsi="Arial" w:cs="Arial"/>
          <w:sz w:val="20"/>
          <w:szCs w:val="20"/>
        </w:rPr>
        <w:t>Jewellers Block</w:t>
      </w:r>
    </w:p>
    <w:p w14:paraId="79042644" w14:textId="31B7C5B3" w:rsidR="004D7290" w:rsidRPr="0047635A" w:rsidRDefault="004D7290" w:rsidP="00CD5D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7635A">
        <w:rPr>
          <w:rFonts w:ascii="Arial" w:hAnsi="Arial" w:cs="Arial"/>
          <w:sz w:val="20"/>
          <w:szCs w:val="20"/>
        </w:rPr>
        <w:t>General Marine</w:t>
      </w:r>
    </w:p>
    <w:p w14:paraId="08DAED5D" w14:textId="280F82CB" w:rsidR="004D7290" w:rsidRPr="0047635A" w:rsidRDefault="004D7290" w:rsidP="00CD5D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7635A">
        <w:rPr>
          <w:rFonts w:ascii="Arial" w:hAnsi="Arial" w:cs="Arial"/>
          <w:sz w:val="20"/>
          <w:szCs w:val="20"/>
        </w:rPr>
        <w:t>XL Marine</w:t>
      </w:r>
    </w:p>
    <w:p w14:paraId="49CD9FD9" w14:textId="51F3CE60" w:rsidR="004D7290" w:rsidRPr="0047635A" w:rsidRDefault="004D7290" w:rsidP="00CD5D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7635A">
        <w:rPr>
          <w:rFonts w:ascii="Arial" w:hAnsi="Arial" w:cs="Arial"/>
          <w:sz w:val="20"/>
          <w:szCs w:val="20"/>
        </w:rPr>
        <w:t>Marine Hull War</w:t>
      </w:r>
    </w:p>
    <w:p w14:paraId="4176F989" w14:textId="005DDD5C" w:rsidR="008A6F34" w:rsidRDefault="00674929" w:rsidP="0029177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4334C">
        <w:rPr>
          <w:rFonts w:ascii="Arial" w:hAnsi="Arial" w:cs="Arial"/>
          <w:sz w:val="20"/>
          <w:szCs w:val="20"/>
        </w:rPr>
        <w:t xml:space="preserve">ll wordings </w:t>
      </w:r>
      <w:r w:rsidR="00FE14AB">
        <w:rPr>
          <w:rFonts w:ascii="Arial" w:hAnsi="Arial" w:cs="Arial"/>
          <w:sz w:val="20"/>
          <w:szCs w:val="20"/>
        </w:rPr>
        <w:t>within these</w:t>
      </w:r>
      <w:r w:rsidR="0024334C">
        <w:rPr>
          <w:rFonts w:ascii="Arial" w:hAnsi="Arial" w:cs="Arial"/>
          <w:sz w:val="20"/>
          <w:szCs w:val="20"/>
        </w:rPr>
        <w:t xml:space="preserve"> classes will </w:t>
      </w:r>
      <w:r w:rsidR="00290458">
        <w:rPr>
          <w:rFonts w:ascii="Arial" w:hAnsi="Arial" w:cs="Arial"/>
          <w:sz w:val="20"/>
          <w:szCs w:val="20"/>
        </w:rPr>
        <w:t>therefore remain a</w:t>
      </w:r>
      <w:r w:rsidR="0024334C">
        <w:rPr>
          <w:rFonts w:ascii="Arial" w:hAnsi="Arial" w:cs="Arial"/>
          <w:sz w:val="20"/>
          <w:szCs w:val="20"/>
        </w:rPr>
        <w:t>ctive on the LWR.</w:t>
      </w:r>
    </w:p>
    <w:p w14:paraId="386F437A" w14:textId="69F90747" w:rsidR="0029177B" w:rsidRDefault="00100AF4" w:rsidP="0029177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r w:rsidR="008A6F3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pecie, t</w:t>
      </w:r>
      <w:r w:rsidR="0029177B" w:rsidRPr="00AB2842"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z w:val="20"/>
          <w:szCs w:val="20"/>
        </w:rPr>
        <w:t>relevant underwriting c</w:t>
      </w:r>
      <w:r w:rsidR="0029177B" w:rsidRPr="00AB2842">
        <w:rPr>
          <w:rFonts w:ascii="Arial" w:hAnsi="Arial" w:cs="Arial"/>
          <w:sz w:val="20"/>
          <w:szCs w:val="20"/>
        </w:rPr>
        <w:t xml:space="preserve">ommittee </w:t>
      </w:r>
      <w:r w:rsidR="00290458">
        <w:rPr>
          <w:rFonts w:ascii="Arial" w:hAnsi="Arial" w:cs="Arial"/>
          <w:sz w:val="20"/>
          <w:szCs w:val="20"/>
        </w:rPr>
        <w:t>has confirmed</w:t>
      </w:r>
      <w:r w:rsidR="00A76B16" w:rsidRPr="00AB2842">
        <w:rPr>
          <w:rFonts w:ascii="Arial" w:hAnsi="Arial" w:cs="Arial"/>
          <w:sz w:val="20"/>
          <w:szCs w:val="20"/>
        </w:rPr>
        <w:t xml:space="preserve"> that</w:t>
      </w:r>
      <w:r w:rsidR="0029177B" w:rsidRPr="00AB2842">
        <w:rPr>
          <w:rFonts w:ascii="Arial" w:hAnsi="Arial" w:cs="Arial"/>
          <w:sz w:val="20"/>
          <w:szCs w:val="20"/>
        </w:rPr>
        <w:t xml:space="preserve"> the wordings </w:t>
      </w:r>
      <w:r w:rsidR="00E0386F">
        <w:rPr>
          <w:rFonts w:ascii="Arial" w:hAnsi="Arial" w:cs="Arial"/>
          <w:sz w:val="20"/>
          <w:szCs w:val="20"/>
        </w:rPr>
        <w:t>listed</w:t>
      </w:r>
      <w:r w:rsidR="00E0386F" w:rsidRPr="00AB2842">
        <w:rPr>
          <w:rFonts w:ascii="Arial" w:hAnsi="Arial" w:cs="Arial"/>
          <w:sz w:val="20"/>
          <w:szCs w:val="20"/>
        </w:rPr>
        <w:t xml:space="preserve"> </w:t>
      </w:r>
      <w:r w:rsidR="00865D70">
        <w:rPr>
          <w:rFonts w:ascii="Arial" w:hAnsi="Arial" w:cs="Arial"/>
          <w:sz w:val="20"/>
          <w:szCs w:val="20"/>
        </w:rPr>
        <w:t>have been superseded</w:t>
      </w:r>
      <w:r w:rsidR="00D078BE" w:rsidRPr="00AB2842">
        <w:rPr>
          <w:rFonts w:ascii="Arial" w:hAnsi="Arial" w:cs="Arial"/>
          <w:sz w:val="20"/>
          <w:szCs w:val="20"/>
        </w:rPr>
        <w:t>. We therefore intend to archive the</w:t>
      </w:r>
      <w:r w:rsidR="009D74C5">
        <w:rPr>
          <w:rFonts w:ascii="Arial" w:hAnsi="Arial" w:cs="Arial"/>
          <w:sz w:val="20"/>
          <w:szCs w:val="20"/>
        </w:rPr>
        <w:t>m</w:t>
      </w:r>
      <w:r w:rsidR="00D078BE" w:rsidRPr="00AB2842">
        <w:rPr>
          <w:rFonts w:ascii="Arial" w:hAnsi="Arial" w:cs="Arial"/>
          <w:sz w:val="20"/>
          <w:szCs w:val="20"/>
        </w:rPr>
        <w:t>.</w:t>
      </w:r>
    </w:p>
    <w:p w14:paraId="4E4DF23C" w14:textId="1517F571" w:rsidR="00893785" w:rsidRPr="009D58A3" w:rsidRDefault="00420CF8" w:rsidP="0029177B">
      <w:pPr>
        <w:spacing w:line="240" w:lineRule="auto"/>
        <w:rPr>
          <w:rFonts w:ascii="Arial" w:hAnsi="Arial" w:cs="Arial"/>
          <w:sz w:val="20"/>
          <w:szCs w:val="20"/>
        </w:rPr>
      </w:pPr>
      <w:r w:rsidRPr="00AB2842">
        <w:rPr>
          <w:rFonts w:ascii="Arial" w:hAnsi="Arial" w:cs="Arial"/>
          <w:sz w:val="20"/>
          <w:szCs w:val="20"/>
        </w:rPr>
        <w:t xml:space="preserve">As Phase 1 </w:t>
      </w:r>
      <w:r w:rsidR="00290458">
        <w:rPr>
          <w:rFonts w:ascii="Arial" w:hAnsi="Arial" w:cs="Arial"/>
          <w:sz w:val="20"/>
          <w:szCs w:val="20"/>
        </w:rPr>
        <w:t>of Project Spring Clean concludes</w:t>
      </w:r>
      <w:r w:rsidRPr="00AB2842">
        <w:rPr>
          <w:rFonts w:ascii="Arial" w:hAnsi="Arial" w:cs="Arial"/>
          <w:sz w:val="20"/>
          <w:szCs w:val="20"/>
        </w:rPr>
        <w:t xml:space="preserve">, we invite feedback from </w:t>
      </w:r>
      <w:r w:rsidR="00860196">
        <w:rPr>
          <w:rFonts w:ascii="Arial" w:hAnsi="Arial" w:cs="Arial"/>
          <w:sz w:val="20"/>
          <w:szCs w:val="20"/>
        </w:rPr>
        <w:t xml:space="preserve">full </w:t>
      </w:r>
      <w:r w:rsidR="00154E20">
        <w:rPr>
          <w:rFonts w:ascii="Arial" w:hAnsi="Arial" w:cs="Arial"/>
          <w:sz w:val="20"/>
          <w:szCs w:val="20"/>
        </w:rPr>
        <w:t xml:space="preserve">LMA </w:t>
      </w:r>
      <w:r w:rsidR="00860196">
        <w:rPr>
          <w:rFonts w:ascii="Arial" w:hAnsi="Arial" w:cs="Arial"/>
          <w:sz w:val="20"/>
          <w:szCs w:val="20"/>
        </w:rPr>
        <w:t xml:space="preserve">members with an interest in </w:t>
      </w:r>
      <w:r w:rsidR="00C05424">
        <w:rPr>
          <w:rFonts w:ascii="Arial" w:hAnsi="Arial" w:cs="Arial"/>
          <w:sz w:val="20"/>
          <w:szCs w:val="20"/>
        </w:rPr>
        <w:t>the above.</w:t>
      </w:r>
      <w:r w:rsidR="009D58A3">
        <w:rPr>
          <w:rFonts w:ascii="Arial" w:hAnsi="Arial" w:cs="Arial"/>
          <w:sz w:val="20"/>
          <w:szCs w:val="20"/>
        </w:rPr>
        <w:t xml:space="preserve"> Please confirm whether any of the listed wordings remain in use. </w:t>
      </w:r>
      <w:r w:rsidR="00816C99">
        <w:rPr>
          <w:rFonts w:ascii="Arial" w:hAnsi="Arial" w:cs="Arial"/>
          <w:sz w:val="20"/>
          <w:szCs w:val="20"/>
        </w:rPr>
        <w:t>If a</w:t>
      </w:r>
      <w:r w:rsidR="000C22C7">
        <w:rPr>
          <w:rFonts w:ascii="Arial" w:hAnsi="Arial" w:cs="Arial"/>
          <w:sz w:val="20"/>
          <w:szCs w:val="20"/>
        </w:rPr>
        <w:t xml:space="preserve">ny </w:t>
      </w:r>
      <w:r w:rsidR="007473FC">
        <w:rPr>
          <w:rFonts w:ascii="Arial" w:hAnsi="Arial" w:cs="Arial"/>
          <w:sz w:val="20"/>
          <w:szCs w:val="20"/>
        </w:rPr>
        <w:t xml:space="preserve">wording </w:t>
      </w:r>
      <w:r w:rsidR="000C22C7">
        <w:rPr>
          <w:rFonts w:ascii="Arial" w:hAnsi="Arial" w:cs="Arial"/>
          <w:sz w:val="20"/>
          <w:szCs w:val="20"/>
        </w:rPr>
        <w:t>should remain active</w:t>
      </w:r>
      <w:r w:rsidR="00816C99">
        <w:rPr>
          <w:rFonts w:ascii="Arial" w:hAnsi="Arial" w:cs="Arial"/>
          <w:sz w:val="20"/>
          <w:szCs w:val="20"/>
        </w:rPr>
        <w:t xml:space="preserve">, please email </w:t>
      </w:r>
      <w:hyperlink r:id="rId9" w:history="1">
        <w:r w:rsidR="00FB52F5" w:rsidRPr="0089669D">
          <w:rPr>
            <w:rStyle w:val="Hyperlink"/>
            <w:rFonts w:ascii="Arial" w:hAnsi="Arial" w:cs="Arial"/>
            <w:sz w:val="20"/>
            <w:szCs w:val="20"/>
          </w:rPr>
          <w:t>UnderwritingLMA@lmalloyds.com</w:t>
        </w:r>
      </w:hyperlink>
      <w:r w:rsidR="00FB52F5" w:rsidRPr="00AB2842">
        <w:rPr>
          <w:rFonts w:ascii="Arial" w:hAnsi="Arial" w:cs="Arial"/>
          <w:sz w:val="20"/>
          <w:szCs w:val="20"/>
        </w:rPr>
        <w:t xml:space="preserve"> </w:t>
      </w:r>
      <w:r w:rsidR="00893785" w:rsidRPr="00AB2842">
        <w:rPr>
          <w:rFonts w:ascii="Arial" w:hAnsi="Arial" w:cs="Arial"/>
          <w:b/>
          <w:bCs/>
          <w:sz w:val="20"/>
          <w:szCs w:val="20"/>
        </w:rPr>
        <w:t xml:space="preserve">by close of </w:t>
      </w:r>
      <w:r w:rsidR="007473FC">
        <w:rPr>
          <w:rFonts w:ascii="Arial" w:hAnsi="Arial" w:cs="Arial"/>
          <w:b/>
          <w:bCs/>
          <w:sz w:val="20"/>
          <w:szCs w:val="20"/>
        </w:rPr>
        <w:t>business</w:t>
      </w:r>
      <w:r w:rsidR="00893785" w:rsidRPr="00AB2842">
        <w:rPr>
          <w:rFonts w:ascii="Arial" w:hAnsi="Arial" w:cs="Arial"/>
          <w:b/>
          <w:bCs/>
          <w:sz w:val="20"/>
          <w:szCs w:val="20"/>
        </w:rPr>
        <w:t xml:space="preserve"> on </w:t>
      </w:r>
      <w:r w:rsidR="00AA632B">
        <w:rPr>
          <w:rFonts w:ascii="Arial" w:hAnsi="Arial" w:cs="Arial"/>
          <w:b/>
          <w:bCs/>
          <w:sz w:val="20"/>
          <w:szCs w:val="20"/>
        </w:rPr>
        <w:t>Monday 18 May 2026</w:t>
      </w:r>
      <w:r w:rsidR="00893785" w:rsidRPr="00AB2842">
        <w:rPr>
          <w:rFonts w:ascii="Arial" w:hAnsi="Arial" w:cs="Arial"/>
          <w:b/>
          <w:bCs/>
          <w:sz w:val="20"/>
          <w:szCs w:val="20"/>
        </w:rPr>
        <w:t>.</w:t>
      </w:r>
    </w:p>
    <w:p w14:paraId="34A48E31" w14:textId="3141BF1B" w:rsidR="002F50B8" w:rsidRDefault="00C05813" w:rsidP="00712B8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Claudia Goodridge, Senior Executive, Technical Underwriting</w:t>
      </w:r>
    </w:p>
    <w:p w14:paraId="31A7C80C" w14:textId="77777777" w:rsidR="00EC5F3D" w:rsidRDefault="00EC5F3D" w:rsidP="00712B8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199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4259"/>
        <w:gridCol w:w="1560"/>
        <w:gridCol w:w="1977"/>
      </w:tblGrid>
      <w:tr w:rsidR="00A76B16" w:rsidRPr="00AB2842" w14:paraId="7987BBF9" w14:textId="77777777" w:rsidTr="006E1874">
        <w:trPr>
          <w:trHeight w:val="531"/>
        </w:trPr>
        <w:tc>
          <w:tcPr>
            <w:tcW w:w="9199" w:type="dxa"/>
            <w:gridSpan w:val="4"/>
            <w:tcBorders>
              <w:top w:val="single" w:sz="12" w:space="0" w:color="C00000"/>
              <w:bottom w:val="single" w:sz="12" w:space="0" w:color="C00000"/>
            </w:tcBorders>
            <w:shd w:val="clear" w:color="auto" w:fill="FFFFFF"/>
            <w:vAlign w:val="center"/>
          </w:tcPr>
          <w:p w14:paraId="71D0FD06" w14:textId="25F18724" w:rsidR="00A76B16" w:rsidRPr="00AB2842" w:rsidRDefault="0087342F" w:rsidP="006E18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Specie</w:t>
            </w:r>
            <w:r w:rsidR="000F7100" w:rsidRPr="00AB28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F7100" w:rsidRPr="00AB28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wordings </w:t>
            </w:r>
            <w:r w:rsidR="00CB2FD3">
              <w:rPr>
                <w:rFonts w:ascii="Arial" w:hAnsi="Arial" w:cs="Arial"/>
                <w:b/>
                <w:bCs/>
                <w:sz w:val="20"/>
                <w:szCs w:val="20"/>
              </w:rPr>
              <w:t>to be archived</w:t>
            </w:r>
            <w:r w:rsidR="000F7100" w:rsidRPr="00AB284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D0F78" w:rsidRPr="00AB2842" w14:paraId="5924962B" w14:textId="77777777" w:rsidTr="002F50B8">
        <w:trPr>
          <w:trHeight w:val="180"/>
        </w:trPr>
        <w:tc>
          <w:tcPr>
            <w:tcW w:w="1403" w:type="dxa"/>
            <w:tcBorders>
              <w:top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2DF0F808" w14:textId="126D529A" w:rsidR="002D0F78" w:rsidRPr="00AB2842" w:rsidRDefault="002D0F78" w:rsidP="00C21003">
            <w:pPr>
              <w:spacing w:line="240" w:lineRule="auto"/>
              <w:rPr>
                <w:rFonts w:ascii="Aptos" w:hAnsi="Aptos"/>
                <w:b/>
                <w:bCs/>
                <w:color w:val="000000"/>
                <w:shd w:val="clear" w:color="auto" w:fill="FFFFFF"/>
              </w:rPr>
            </w:pPr>
            <w:r w:rsidRPr="00AB2842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Ref</w:t>
            </w:r>
          </w:p>
        </w:tc>
        <w:tc>
          <w:tcPr>
            <w:tcW w:w="425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10680547" w14:textId="02A377F6" w:rsidR="002D0F78" w:rsidRPr="00AB2842" w:rsidRDefault="002D0F78" w:rsidP="00C2100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84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560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019F3B61" w14:textId="591137FF" w:rsidR="002D0F78" w:rsidRPr="00AB2842" w:rsidRDefault="002D0F78" w:rsidP="00C2100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842">
              <w:rPr>
                <w:rFonts w:ascii="Arial" w:hAnsi="Arial" w:cs="Arial"/>
                <w:b/>
                <w:bCs/>
                <w:sz w:val="20"/>
                <w:szCs w:val="20"/>
              </w:rPr>
              <w:t>Effective Date</w:t>
            </w:r>
          </w:p>
        </w:tc>
        <w:tc>
          <w:tcPr>
            <w:tcW w:w="1977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</w:tcBorders>
            <w:shd w:val="clear" w:color="auto" w:fill="FFFFFF"/>
            <w:vAlign w:val="center"/>
          </w:tcPr>
          <w:p w14:paraId="54B5AFC2" w14:textId="13F26EA9" w:rsidR="002D0F78" w:rsidRPr="00AB2842" w:rsidRDefault="002D0F78" w:rsidP="00C2100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842">
              <w:rPr>
                <w:rFonts w:ascii="Arial" w:hAnsi="Arial" w:cs="Arial"/>
                <w:b/>
                <w:bCs/>
                <w:sz w:val="20"/>
                <w:szCs w:val="20"/>
              </w:rPr>
              <w:t>Originator</w:t>
            </w:r>
          </w:p>
        </w:tc>
      </w:tr>
      <w:tr w:rsidR="00C21003" w:rsidRPr="00AB2842" w14:paraId="2A6F2092" w14:textId="77777777" w:rsidTr="002F50B8">
        <w:trPr>
          <w:trHeight w:val="516"/>
        </w:trPr>
        <w:tc>
          <w:tcPr>
            <w:tcW w:w="1403" w:type="dxa"/>
            <w:tcBorders>
              <w:top w:val="single" w:sz="12" w:space="0" w:color="C00000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FF74BB" w14:textId="5EE68C60" w:rsidR="00C21003" w:rsidRPr="00AB2842" w:rsidRDefault="00F5251F" w:rsidP="00C2100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5251F">
              <w:rPr>
                <w:rFonts w:ascii="Arial" w:hAnsi="Arial" w:cs="Arial"/>
                <w:sz w:val="20"/>
                <w:szCs w:val="20"/>
              </w:rPr>
              <w:t>JSC2015-005</w:t>
            </w:r>
          </w:p>
        </w:tc>
        <w:tc>
          <w:tcPr>
            <w:tcW w:w="4259" w:type="dxa"/>
            <w:tcBorders>
              <w:top w:val="single" w:sz="12" w:space="0" w:color="C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2DD2D9" w14:textId="1D7C2115" w:rsidR="00C21003" w:rsidRPr="00AB2842" w:rsidRDefault="00F5251F" w:rsidP="00C2100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5251F">
              <w:rPr>
                <w:rFonts w:ascii="Arial" w:hAnsi="Arial" w:cs="Arial"/>
                <w:sz w:val="20"/>
                <w:szCs w:val="20"/>
              </w:rPr>
              <w:t>Cyber Attack Exclusion Clause</w:t>
            </w:r>
          </w:p>
        </w:tc>
        <w:tc>
          <w:tcPr>
            <w:tcW w:w="1560" w:type="dxa"/>
            <w:tcBorders>
              <w:top w:val="single" w:sz="12" w:space="0" w:color="C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FE890E" w14:textId="3B81C491" w:rsidR="00C21003" w:rsidRPr="00AB2842" w:rsidRDefault="00F5251F" w:rsidP="00C2100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5251F">
              <w:rPr>
                <w:rFonts w:ascii="Arial" w:hAnsi="Arial" w:cs="Arial"/>
                <w:sz w:val="20"/>
                <w:szCs w:val="20"/>
              </w:rPr>
              <w:t>06/11/2015</w:t>
            </w:r>
          </w:p>
        </w:tc>
        <w:tc>
          <w:tcPr>
            <w:tcW w:w="1977" w:type="dxa"/>
            <w:tcBorders>
              <w:top w:val="single" w:sz="12" w:space="0" w:color="C00000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63A0217" w14:textId="08656724" w:rsidR="00C21003" w:rsidRPr="00AB2842" w:rsidRDefault="00F5251F" w:rsidP="00C2100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5251F">
              <w:rPr>
                <w:rFonts w:ascii="Arial" w:hAnsi="Arial" w:cs="Arial"/>
                <w:sz w:val="20"/>
                <w:szCs w:val="20"/>
              </w:rPr>
              <w:t>LMA/IUA</w:t>
            </w:r>
          </w:p>
        </w:tc>
      </w:tr>
      <w:tr w:rsidR="002F50B8" w:rsidRPr="00AB2842" w14:paraId="4C7C34B8" w14:textId="77777777" w:rsidTr="002F50B8">
        <w:trPr>
          <w:trHeight w:val="180"/>
        </w:trPr>
        <w:tc>
          <w:tcPr>
            <w:tcW w:w="1403" w:type="dxa"/>
            <w:tcBorders>
              <w:top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21788053" w14:textId="68FE2F7F" w:rsidR="002F50B8" w:rsidRPr="00AB2842" w:rsidRDefault="002F50B8" w:rsidP="002F50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F50B8">
              <w:rPr>
                <w:rFonts w:ascii="Arial" w:hAnsi="Arial" w:cs="Arial"/>
                <w:sz w:val="20"/>
                <w:szCs w:val="20"/>
              </w:rPr>
              <w:t>JS2018-001</w:t>
            </w:r>
          </w:p>
        </w:tc>
        <w:tc>
          <w:tcPr>
            <w:tcW w:w="4259" w:type="dxa"/>
            <w:tcBorders>
              <w:top w:val="single" w:sz="2" w:space="0" w:color="auto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26DFAFEB" w14:textId="7A70FECA" w:rsidR="002F50B8" w:rsidRPr="00AB2842" w:rsidRDefault="002F50B8" w:rsidP="002F50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F50B8">
              <w:rPr>
                <w:rFonts w:ascii="Arial" w:hAnsi="Arial" w:cs="Arial"/>
                <w:sz w:val="20"/>
                <w:szCs w:val="20"/>
              </w:rPr>
              <w:t>Cyber Attack Exclusion Clause and Write-Back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6E6C93F3" w14:textId="5BEB7B8D" w:rsidR="002F50B8" w:rsidRPr="00AB2842" w:rsidRDefault="002F50B8" w:rsidP="002F50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F50B8">
              <w:rPr>
                <w:rFonts w:ascii="Arial" w:hAnsi="Arial" w:cs="Arial"/>
                <w:sz w:val="20"/>
                <w:szCs w:val="20"/>
              </w:rPr>
              <w:t>10/01/2018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12" w:space="0" w:color="C00000"/>
            </w:tcBorders>
            <w:shd w:val="clear" w:color="auto" w:fill="FFFFFF"/>
            <w:vAlign w:val="center"/>
          </w:tcPr>
          <w:p w14:paraId="66AB161D" w14:textId="73EFA6E9" w:rsidR="002F50B8" w:rsidRPr="00AB2842" w:rsidRDefault="002F50B8" w:rsidP="002F50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F50B8">
              <w:rPr>
                <w:rFonts w:ascii="Arial" w:hAnsi="Arial" w:cs="Arial"/>
                <w:sz w:val="20"/>
                <w:szCs w:val="20"/>
              </w:rPr>
              <w:t>LMA/IUA</w:t>
            </w:r>
          </w:p>
        </w:tc>
      </w:tr>
    </w:tbl>
    <w:p w14:paraId="6266ED7A" w14:textId="613F891B" w:rsidR="00E0376E" w:rsidRDefault="00E0376E" w:rsidP="006E1874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E0376E" w:rsidSect="00EC5F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0DE1"/>
    <w:multiLevelType w:val="hybridMultilevel"/>
    <w:tmpl w:val="6320339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64390A"/>
    <w:multiLevelType w:val="hybridMultilevel"/>
    <w:tmpl w:val="C2244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17287">
    <w:abstractNumId w:val="1"/>
  </w:num>
  <w:num w:numId="2" w16cid:durableId="171272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7B"/>
    <w:rsid w:val="00007A90"/>
    <w:rsid w:val="00015FCB"/>
    <w:rsid w:val="000313E4"/>
    <w:rsid w:val="0007264A"/>
    <w:rsid w:val="00083406"/>
    <w:rsid w:val="000C22C7"/>
    <w:rsid w:val="000E0BE7"/>
    <w:rsid w:val="000E3FC5"/>
    <w:rsid w:val="000E7C35"/>
    <w:rsid w:val="000F7100"/>
    <w:rsid w:val="00100AF4"/>
    <w:rsid w:val="00104077"/>
    <w:rsid w:val="00135ECC"/>
    <w:rsid w:val="00154E20"/>
    <w:rsid w:val="001C7F73"/>
    <w:rsid w:val="001E2AA5"/>
    <w:rsid w:val="00217CF6"/>
    <w:rsid w:val="00222315"/>
    <w:rsid w:val="00225520"/>
    <w:rsid w:val="0024334C"/>
    <w:rsid w:val="00270827"/>
    <w:rsid w:val="00274ED5"/>
    <w:rsid w:val="002817BC"/>
    <w:rsid w:val="00290458"/>
    <w:rsid w:val="0029177B"/>
    <w:rsid w:val="002B747B"/>
    <w:rsid w:val="002C0CC1"/>
    <w:rsid w:val="002D0F78"/>
    <w:rsid w:val="002D6E55"/>
    <w:rsid w:val="002E00EE"/>
    <w:rsid w:val="002E4043"/>
    <w:rsid w:val="002E75ED"/>
    <w:rsid w:val="002F14F0"/>
    <w:rsid w:val="002F50B8"/>
    <w:rsid w:val="003122E3"/>
    <w:rsid w:val="00327258"/>
    <w:rsid w:val="0034357E"/>
    <w:rsid w:val="00372B00"/>
    <w:rsid w:val="003E6412"/>
    <w:rsid w:val="00420CF8"/>
    <w:rsid w:val="00437E59"/>
    <w:rsid w:val="004402BF"/>
    <w:rsid w:val="00457EE7"/>
    <w:rsid w:val="0047635A"/>
    <w:rsid w:val="004770C8"/>
    <w:rsid w:val="00493D0F"/>
    <w:rsid w:val="004B5DB8"/>
    <w:rsid w:val="004C3E43"/>
    <w:rsid w:val="004D4E1D"/>
    <w:rsid w:val="004D7290"/>
    <w:rsid w:val="00516B11"/>
    <w:rsid w:val="00537212"/>
    <w:rsid w:val="00577853"/>
    <w:rsid w:val="00585C07"/>
    <w:rsid w:val="005919C6"/>
    <w:rsid w:val="005B0B62"/>
    <w:rsid w:val="005C5B03"/>
    <w:rsid w:val="005D6733"/>
    <w:rsid w:val="005D70FB"/>
    <w:rsid w:val="005E4BC2"/>
    <w:rsid w:val="005F6115"/>
    <w:rsid w:val="006133C9"/>
    <w:rsid w:val="006208EB"/>
    <w:rsid w:val="006558E3"/>
    <w:rsid w:val="00661052"/>
    <w:rsid w:val="00674929"/>
    <w:rsid w:val="006C5A5C"/>
    <w:rsid w:val="006E1874"/>
    <w:rsid w:val="006F2C53"/>
    <w:rsid w:val="006F31AB"/>
    <w:rsid w:val="00712B8C"/>
    <w:rsid w:val="007174A6"/>
    <w:rsid w:val="00721017"/>
    <w:rsid w:val="00721241"/>
    <w:rsid w:val="00725572"/>
    <w:rsid w:val="00740D62"/>
    <w:rsid w:val="007473FC"/>
    <w:rsid w:val="00790318"/>
    <w:rsid w:val="007949F4"/>
    <w:rsid w:val="00795C5C"/>
    <w:rsid w:val="007A6E15"/>
    <w:rsid w:val="007B05E9"/>
    <w:rsid w:val="007D2240"/>
    <w:rsid w:val="007E2EC0"/>
    <w:rsid w:val="00816C99"/>
    <w:rsid w:val="00823F15"/>
    <w:rsid w:val="00824CFE"/>
    <w:rsid w:val="00832C29"/>
    <w:rsid w:val="00837935"/>
    <w:rsid w:val="008501A9"/>
    <w:rsid w:val="00853EF9"/>
    <w:rsid w:val="00860196"/>
    <w:rsid w:val="00865D70"/>
    <w:rsid w:val="0087342F"/>
    <w:rsid w:val="00893324"/>
    <w:rsid w:val="00893785"/>
    <w:rsid w:val="008A6F34"/>
    <w:rsid w:val="008B1507"/>
    <w:rsid w:val="008B6C80"/>
    <w:rsid w:val="009116EE"/>
    <w:rsid w:val="009132A5"/>
    <w:rsid w:val="00932708"/>
    <w:rsid w:val="00944232"/>
    <w:rsid w:val="009958EF"/>
    <w:rsid w:val="009A3A83"/>
    <w:rsid w:val="009A4171"/>
    <w:rsid w:val="009A66C3"/>
    <w:rsid w:val="009B002A"/>
    <w:rsid w:val="009C70E4"/>
    <w:rsid w:val="009D2AB4"/>
    <w:rsid w:val="009D3597"/>
    <w:rsid w:val="009D3DD7"/>
    <w:rsid w:val="009D5634"/>
    <w:rsid w:val="009D58A3"/>
    <w:rsid w:val="009D74C5"/>
    <w:rsid w:val="009E04A9"/>
    <w:rsid w:val="00A256D9"/>
    <w:rsid w:val="00A265ED"/>
    <w:rsid w:val="00A27360"/>
    <w:rsid w:val="00A55AF8"/>
    <w:rsid w:val="00A76B16"/>
    <w:rsid w:val="00A85FA3"/>
    <w:rsid w:val="00AA0CC9"/>
    <w:rsid w:val="00AA4BDF"/>
    <w:rsid w:val="00AA632B"/>
    <w:rsid w:val="00AA7811"/>
    <w:rsid w:val="00AB2109"/>
    <w:rsid w:val="00AB2842"/>
    <w:rsid w:val="00AF5F78"/>
    <w:rsid w:val="00B21CB9"/>
    <w:rsid w:val="00B27AA6"/>
    <w:rsid w:val="00B34198"/>
    <w:rsid w:val="00B44E4D"/>
    <w:rsid w:val="00B73696"/>
    <w:rsid w:val="00B75DC6"/>
    <w:rsid w:val="00BA5D28"/>
    <w:rsid w:val="00BB2C2F"/>
    <w:rsid w:val="00BF4869"/>
    <w:rsid w:val="00BF748B"/>
    <w:rsid w:val="00C05424"/>
    <w:rsid w:val="00C05813"/>
    <w:rsid w:val="00C12118"/>
    <w:rsid w:val="00C121D6"/>
    <w:rsid w:val="00C21003"/>
    <w:rsid w:val="00C46B0B"/>
    <w:rsid w:val="00C53ACB"/>
    <w:rsid w:val="00C701AA"/>
    <w:rsid w:val="00C74324"/>
    <w:rsid w:val="00C8682E"/>
    <w:rsid w:val="00CA4B30"/>
    <w:rsid w:val="00CB2FD3"/>
    <w:rsid w:val="00CC6829"/>
    <w:rsid w:val="00CD5DF1"/>
    <w:rsid w:val="00CE16E9"/>
    <w:rsid w:val="00CF34C7"/>
    <w:rsid w:val="00CF72C0"/>
    <w:rsid w:val="00D0292E"/>
    <w:rsid w:val="00D04E54"/>
    <w:rsid w:val="00D078BE"/>
    <w:rsid w:val="00D10DA5"/>
    <w:rsid w:val="00D265D2"/>
    <w:rsid w:val="00D4182A"/>
    <w:rsid w:val="00D41BC9"/>
    <w:rsid w:val="00D47BF0"/>
    <w:rsid w:val="00D53339"/>
    <w:rsid w:val="00D57CA8"/>
    <w:rsid w:val="00D62856"/>
    <w:rsid w:val="00D735D0"/>
    <w:rsid w:val="00D85890"/>
    <w:rsid w:val="00D974F3"/>
    <w:rsid w:val="00DC352E"/>
    <w:rsid w:val="00DF7AB1"/>
    <w:rsid w:val="00E007DE"/>
    <w:rsid w:val="00E0376E"/>
    <w:rsid w:val="00E0386F"/>
    <w:rsid w:val="00E2518E"/>
    <w:rsid w:val="00E34566"/>
    <w:rsid w:val="00E734BA"/>
    <w:rsid w:val="00E76513"/>
    <w:rsid w:val="00E76F30"/>
    <w:rsid w:val="00E84509"/>
    <w:rsid w:val="00E8622A"/>
    <w:rsid w:val="00E9286B"/>
    <w:rsid w:val="00E9643E"/>
    <w:rsid w:val="00EC0F53"/>
    <w:rsid w:val="00EC5F3D"/>
    <w:rsid w:val="00EE2965"/>
    <w:rsid w:val="00EE5D7F"/>
    <w:rsid w:val="00F00377"/>
    <w:rsid w:val="00F07D3D"/>
    <w:rsid w:val="00F4019F"/>
    <w:rsid w:val="00F5251F"/>
    <w:rsid w:val="00F61FE3"/>
    <w:rsid w:val="00F80579"/>
    <w:rsid w:val="00F81161"/>
    <w:rsid w:val="00F91D3A"/>
    <w:rsid w:val="00FB52F5"/>
    <w:rsid w:val="00FE1354"/>
    <w:rsid w:val="00FE14AB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6F97"/>
  <w15:chartTrackingRefBased/>
  <w15:docId w15:val="{F50F706A-D468-491F-AB91-A037313A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7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7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7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7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7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7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7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7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7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7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7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77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77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91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7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6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6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0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alloyds.com/lma-archiving-and-withdrawal-process-for-wordings-clauses-on-the-lw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nderwritingLMA@lmalloy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9" ma:contentTypeDescription="Create a new document." ma:contentTypeScope="" ma:versionID="6e50e07fac70028c3134daef27d5804f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226674defac6cfb4c93ac9d686a221bb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64A72-A35C-4EC8-A79F-DD745AF4F920}"/>
</file>

<file path=customXml/itemProps2.xml><?xml version="1.0" encoding="utf-8"?>
<ds:datastoreItem xmlns:ds="http://schemas.openxmlformats.org/officeDocument/2006/customXml" ds:itemID="{FAD5970A-432B-42EE-A86E-6B26675B9E80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customXml/itemProps3.xml><?xml version="1.0" encoding="utf-8"?>
<ds:datastoreItem xmlns:ds="http://schemas.openxmlformats.org/officeDocument/2006/customXml" ds:itemID="{AE65145D-5377-4874-B1BF-EEE59F4F8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Goodridge</dc:creator>
  <cp:keywords/>
  <dc:description/>
  <cp:lastModifiedBy>Claudia Goodridge</cp:lastModifiedBy>
  <cp:revision>37</cp:revision>
  <dcterms:created xsi:type="dcterms:W3CDTF">2026-04-30T14:40:00Z</dcterms:created>
  <dcterms:modified xsi:type="dcterms:W3CDTF">2026-04-30T15:09:00Z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MediaServiceImageTags">
    <vt:lpwstr/>
  </property>
</Properties>
</file>